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6A8AB" w14:textId="08DC219A" w:rsidR="00C34A98" w:rsidRPr="00295EBE" w:rsidRDefault="00975982" w:rsidP="00B92F4B">
      <w:pPr>
        <w:spacing w:after="120"/>
        <w:rPr>
          <w:rFonts w:ascii="Tahoma" w:hAnsi="Tahoma" w:cs="Tahoma"/>
          <w:b/>
          <w:sz w:val="20"/>
          <w:szCs w:val="20"/>
        </w:rPr>
      </w:pPr>
      <w:r>
        <w:rPr>
          <w:noProof/>
          <w:lang w:val="en-US" w:eastAsia="zh-CN"/>
        </w:rPr>
        <w:drawing>
          <wp:anchor distT="0" distB="0" distL="114300" distR="114300" simplePos="0" relativeHeight="251657216" behindDoc="0" locked="0" layoutInCell="1" allowOverlap="1" wp14:anchorId="7F6F76C3" wp14:editId="78AFDA2C">
            <wp:simplePos x="0" y="0"/>
            <wp:positionH relativeFrom="column">
              <wp:posOffset>8393430</wp:posOffset>
            </wp:positionH>
            <wp:positionV relativeFrom="paragraph">
              <wp:posOffset>-196850</wp:posOffset>
            </wp:positionV>
            <wp:extent cx="1427036" cy="50292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036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77A" w:rsidRPr="00295EBE">
        <w:rPr>
          <w:rFonts w:ascii="Tahoma" w:hAnsi="Tahoma" w:cs="Tahoma"/>
          <w:b/>
          <w:sz w:val="20"/>
          <w:szCs w:val="20"/>
        </w:rPr>
        <w:t>Civmec Limited</w:t>
      </w:r>
      <w:r w:rsidR="00C019A2" w:rsidRPr="00C019A2">
        <w:rPr>
          <w:noProof/>
        </w:rPr>
        <w:t xml:space="preserve"> </w:t>
      </w:r>
    </w:p>
    <w:p w14:paraId="5EE6A8AC" w14:textId="5A4B170E" w:rsidR="00A92745" w:rsidRDefault="001167E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Repositioning shares between the Australian and Singapore registers</w:t>
      </w:r>
      <w:r w:rsidR="006A10CE" w:rsidRPr="00295EBE">
        <w:rPr>
          <w:rFonts w:ascii="Tahoma" w:hAnsi="Tahoma" w:cs="Tahoma"/>
          <w:b/>
          <w:sz w:val="20"/>
          <w:szCs w:val="20"/>
        </w:rPr>
        <w:t xml:space="preserve"> </w:t>
      </w:r>
    </w:p>
    <w:p w14:paraId="33E77417" w14:textId="2B3330C5" w:rsidR="009D1EDB" w:rsidRPr="009D1EDB" w:rsidRDefault="009D1EDB" w:rsidP="009D1EDB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Civmec Limited s</w:t>
      </w:r>
      <w:r w:rsidRPr="009D1EDB">
        <w:rPr>
          <w:rFonts w:ascii="Tahoma" w:hAnsi="Tahoma" w:cs="Tahoma"/>
          <w:color w:val="000000"/>
          <w:sz w:val="20"/>
          <w:szCs w:val="20"/>
        </w:rPr>
        <w:t>hares re</w:t>
      </w:r>
      <w:r w:rsidR="005F0C46">
        <w:rPr>
          <w:rFonts w:ascii="Tahoma" w:hAnsi="Tahoma" w:cs="Tahoma"/>
          <w:color w:val="000000"/>
          <w:sz w:val="20"/>
          <w:szCs w:val="20"/>
        </w:rPr>
        <w:t>gistered</w:t>
      </w:r>
      <w:r w:rsidRPr="009D1EDB">
        <w:rPr>
          <w:rFonts w:ascii="Tahoma" w:hAnsi="Tahoma" w:cs="Tahoma"/>
          <w:color w:val="000000"/>
          <w:sz w:val="20"/>
          <w:szCs w:val="20"/>
        </w:rPr>
        <w:t xml:space="preserve"> on the Australian register and </w:t>
      </w:r>
      <w:r>
        <w:rPr>
          <w:rFonts w:ascii="Tahoma" w:hAnsi="Tahoma" w:cs="Tahoma"/>
          <w:color w:val="000000"/>
          <w:sz w:val="20"/>
          <w:szCs w:val="20"/>
        </w:rPr>
        <w:t xml:space="preserve">held on </w:t>
      </w:r>
      <w:r w:rsidRPr="009D1EDB">
        <w:rPr>
          <w:rFonts w:ascii="Tahoma" w:hAnsi="Tahoma" w:cs="Tahoma"/>
          <w:color w:val="000000"/>
          <w:sz w:val="20"/>
          <w:szCs w:val="20"/>
        </w:rPr>
        <w:t xml:space="preserve">Singapore </w:t>
      </w:r>
      <w:r w:rsidR="00986E98">
        <w:rPr>
          <w:rFonts w:ascii="Tahoma" w:hAnsi="Tahoma" w:cs="Tahoma"/>
          <w:color w:val="000000"/>
          <w:sz w:val="20"/>
          <w:szCs w:val="20"/>
        </w:rPr>
        <w:t>b</w:t>
      </w:r>
      <w:r w:rsidR="00726DF6">
        <w:rPr>
          <w:rFonts w:ascii="Tahoma" w:hAnsi="Tahoma" w:cs="Tahoma"/>
          <w:color w:val="000000"/>
          <w:sz w:val="20"/>
          <w:szCs w:val="20"/>
        </w:rPr>
        <w:t xml:space="preserve">ranch </w:t>
      </w:r>
      <w:r w:rsidRPr="009D1EDB">
        <w:rPr>
          <w:rFonts w:ascii="Tahoma" w:hAnsi="Tahoma" w:cs="Tahoma"/>
          <w:color w:val="000000"/>
          <w:sz w:val="20"/>
          <w:szCs w:val="20"/>
        </w:rPr>
        <w:t>register</w:t>
      </w:r>
      <w:r w:rsidR="00726DF6">
        <w:rPr>
          <w:rFonts w:ascii="Tahoma" w:hAnsi="Tahoma" w:cs="Tahoma"/>
          <w:color w:val="000000"/>
          <w:sz w:val="20"/>
          <w:szCs w:val="20"/>
        </w:rPr>
        <w:t xml:space="preserve"> via</w:t>
      </w:r>
      <w:r w:rsidRPr="009D1EDB">
        <w:rPr>
          <w:rFonts w:ascii="Tahoma" w:hAnsi="Tahoma" w:cs="Tahoma"/>
          <w:color w:val="000000"/>
          <w:sz w:val="20"/>
          <w:szCs w:val="20"/>
        </w:rPr>
        <w:t xml:space="preserve">, </w:t>
      </w:r>
      <w:r w:rsidR="00726DF6">
        <w:rPr>
          <w:rFonts w:ascii="Tahoma" w:hAnsi="Tahoma" w:cs="Tahoma"/>
          <w:color w:val="000000"/>
          <w:sz w:val="20"/>
          <w:szCs w:val="20"/>
        </w:rPr>
        <w:t xml:space="preserve">The </w:t>
      </w:r>
      <w:r w:rsidRPr="009D1EDB">
        <w:rPr>
          <w:rFonts w:ascii="Tahoma" w:hAnsi="Tahoma" w:cs="Tahoma"/>
          <w:color w:val="000000"/>
          <w:sz w:val="20"/>
          <w:szCs w:val="20"/>
        </w:rPr>
        <w:t>Central Depository (Pte) Limited (CDP)</w:t>
      </w:r>
      <w:r>
        <w:rPr>
          <w:rFonts w:ascii="Tahoma" w:hAnsi="Tahoma" w:cs="Tahoma"/>
          <w:color w:val="000000"/>
          <w:sz w:val="20"/>
          <w:szCs w:val="20"/>
        </w:rPr>
        <w:t>,</w:t>
      </w:r>
      <w:r w:rsidRPr="009D1EDB">
        <w:rPr>
          <w:rFonts w:ascii="Tahoma" w:hAnsi="Tahoma" w:cs="Tahoma"/>
          <w:color w:val="000000"/>
          <w:sz w:val="20"/>
          <w:szCs w:val="20"/>
        </w:rPr>
        <w:t xml:space="preserve"> are of the same class and type, and are fully fungible (i.e. can be re</w:t>
      </w:r>
      <w:r>
        <w:rPr>
          <w:rFonts w:ascii="Tahoma" w:hAnsi="Tahoma" w:cs="Tahoma"/>
          <w:color w:val="000000"/>
          <w:sz w:val="20"/>
          <w:szCs w:val="20"/>
        </w:rPr>
        <w:t>moved</w:t>
      </w:r>
      <w:r w:rsidRPr="009D1EDB">
        <w:rPr>
          <w:rFonts w:ascii="Tahoma" w:hAnsi="Tahoma" w:cs="Tahoma"/>
          <w:color w:val="000000"/>
          <w:sz w:val="20"/>
          <w:szCs w:val="20"/>
        </w:rPr>
        <w:t xml:space="preserve">) between the two registers </w:t>
      </w:r>
      <w:r>
        <w:rPr>
          <w:rFonts w:ascii="Tahoma" w:hAnsi="Tahoma" w:cs="Tahoma"/>
          <w:color w:val="000000"/>
          <w:sz w:val="20"/>
          <w:szCs w:val="20"/>
        </w:rPr>
        <w:t xml:space="preserve">on a 1:1 basis </w:t>
      </w:r>
      <w:r w:rsidRPr="009D1EDB">
        <w:rPr>
          <w:rFonts w:ascii="Tahoma" w:hAnsi="Tahoma" w:cs="Tahoma"/>
          <w:color w:val="000000"/>
          <w:sz w:val="20"/>
          <w:szCs w:val="20"/>
        </w:rPr>
        <w:t>following the process</w:t>
      </w:r>
      <w:r>
        <w:rPr>
          <w:rFonts w:ascii="Tahoma" w:hAnsi="Tahoma" w:cs="Tahoma"/>
          <w:color w:val="000000"/>
          <w:sz w:val="20"/>
          <w:szCs w:val="20"/>
        </w:rPr>
        <w:t>es</w:t>
      </w:r>
      <w:r w:rsidRPr="009D1EDB">
        <w:rPr>
          <w:rFonts w:ascii="Tahoma" w:hAnsi="Tahoma" w:cs="Tahoma"/>
          <w:color w:val="000000"/>
          <w:sz w:val="20"/>
          <w:szCs w:val="20"/>
        </w:rPr>
        <w:t xml:space="preserve"> detailed below.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5417"/>
      </w:tblGrid>
      <w:tr w:rsidR="00DD621F" w:rsidRPr="00A92745" w14:paraId="44F0031D" w14:textId="77777777" w:rsidTr="001167EE">
        <w:tc>
          <w:tcPr>
            <w:tcW w:w="15417" w:type="dxa"/>
            <w:shd w:val="clear" w:color="auto" w:fill="D9D9D9" w:themeFill="background1" w:themeFillShade="D9"/>
          </w:tcPr>
          <w:p w14:paraId="032EE53C" w14:textId="77777777" w:rsidR="0032735E" w:rsidRDefault="00DD621F" w:rsidP="00DD621F">
            <w:pPr>
              <w:pStyle w:val="NormalDeed"/>
              <w:spacing w:before="120" w:after="120"/>
              <w:ind w:left="743" w:hanging="743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DD621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Register removal – Singapore to Australia</w:t>
            </w:r>
            <w:r w:rsidR="0032735E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04C2EC4D" w14:textId="242D4359" w:rsidR="00DD621F" w:rsidRPr="00295EBE" w:rsidRDefault="0032735E" w:rsidP="00DD621F">
            <w:pPr>
              <w:pStyle w:val="NormalDeed"/>
              <w:spacing w:before="120" w:after="120"/>
              <w:ind w:left="743" w:hanging="743"/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</w:pPr>
            <w:r w:rsidRPr="0032735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Shares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in Singapore located </w:t>
            </w:r>
            <w:r w:rsidRPr="0032735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in a CDP Direct Account </w:t>
            </w:r>
            <w:r w:rsidRPr="0032735E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en-GB"/>
              </w:rPr>
              <w:t>or Sub-account maintained with a CDP Depository Agent</w:t>
            </w:r>
          </w:p>
        </w:tc>
      </w:tr>
      <w:tr w:rsidR="00DD621F" w:rsidRPr="00A92745" w14:paraId="5EE6A8EA" w14:textId="77777777" w:rsidTr="00DD621F">
        <w:tc>
          <w:tcPr>
            <w:tcW w:w="15417" w:type="dxa"/>
            <w:shd w:val="clear" w:color="auto" w:fill="auto"/>
          </w:tcPr>
          <w:p w14:paraId="5EE6A8D2" w14:textId="79BFE6FD" w:rsidR="00DD621F" w:rsidRPr="00295EBE" w:rsidRDefault="00DD621F" w:rsidP="00B47966">
            <w:pPr>
              <w:pStyle w:val="NormalDeed"/>
              <w:spacing w:before="120" w:after="0"/>
              <w:ind w:left="1134" w:hanging="1134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2735E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Step 1</w:t>
            </w:r>
            <w:r w:rsidRPr="0032735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.  </w:t>
            </w:r>
            <w:r w:rsidR="00DC344F" w:rsidRPr="0032735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   </w:t>
            </w:r>
            <w:r w:rsidR="00B47966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  </w:t>
            </w:r>
            <w:r w:rsidRPr="00295EB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CDP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direct </w:t>
            </w:r>
            <w:r w:rsidRPr="00295EB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account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holder or Deposit</w:t>
            </w:r>
            <w:r w:rsidR="0032735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o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ry Agent (DA) of sub</w:t>
            </w:r>
            <w:r w:rsidR="0032735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account holders </w:t>
            </w:r>
            <w:r w:rsidRPr="00295EB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completes a </w:t>
            </w:r>
            <w:hyperlink r:id="rId9" w:history="1">
              <w:r w:rsidRPr="00903D81">
                <w:rPr>
                  <w:rStyle w:val="Hyperlink"/>
                  <w:rFonts w:ascii="Tahoma" w:hAnsi="Tahoma" w:cs="Tahoma"/>
                  <w:iCs/>
                  <w:sz w:val="18"/>
                  <w:szCs w:val="18"/>
                </w:rPr>
                <w:t xml:space="preserve">Request for Withdrawal of Securities </w:t>
              </w:r>
              <w:r w:rsidR="001167EE" w:rsidRPr="00903D81">
                <w:rPr>
                  <w:rStyle w:val="Hyperlink"/>
                  <w:rFonts w:ascii="Tahoma" w:hAnsi="Tahoma" w:cs="Tahoma"/>
                  <w:iCs/>
                  <w:sz w:val="18"/>
                  <w:szCs w:val="18"/>
                </w:rPr>
                <w:t>form</w:t>
              </w:r>
            </w:hyperlink>
            <w:r w:rsidR="001167EE" w:rsidRPr="00903D81"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903D81">
              <w:rPr>
                <w:rFonts w:ascii="Tahoma" w:hAnsi="Tahoma" w:cs="Tahoma"/>
                <w:iCs/>
                <w:color w:val="000000" w:themeColor="text1"/>
                <w:sz w:val="18"/>
                <w:szCs w:val="18"/>
                <w:u w:val="single"/>
              </w:rPr>
              <w:t>and</w:t>
            </w:r>
            <w:r w:rsidRPr="00903D81"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  <w:t xml:space="preserve"> </w:t>
            </w:r>
            <w:hyperlink r:id="rId10" w:history="1">
              <w:r w:rsidRPr="00903D81">
                <w:rPr>
                  <w:rStyle w:val="Hyperlink"/>
                  <w:rFonts w:ascii="Tahoma" w:hAnsi="Tahoma" w:cs="Tahoma"/>
                  <w:iCs/>
                  <w:sz w:val="18"/>
                  <w:szCs w:val="18"/>
                </w:rPr>
                <w:t xml:space="preserve">Singapore Transfer </w:t>
              </w:r>
              <w:r w:rsidR="001167EE" w:rsidRPr="00903D81">
                <w:rPr>
                  <w:rStyle w:val="Hyperlink"/>
                  <w:rFonts w:ascii="Tahoma" w:hAnsi="Tahoma" w:cs="Tahoma"/>
                  <w:iCs/>
                  <w:sz w:val="18"/>
                  <w:szCs w:val="18"/>
                </w:rPr>
                <w:t>Deed</w:t>
              </w:r>
            </w:hyperlink>
            <w:r w:rsidRPr="00903D81"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295EBE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(where the </w:t>
            </w:r>
            <w:r w:rsidR="00DC209A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transferor</w:t>
            </w:r>
            <w:r w:rsidRPr="00295EBE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is CDP and CDP account holder is the transferee), and deliver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the </w:t>
            </w:r>
            <w:r w:rsidR="001667A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duly 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completed</w:t>
            </w:r>
            <w:r w:rsidR="001667A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and </w:t>
            </w:r>
            <w:r w:rsidR="00493BE8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wet inked </w:t>
            </w:r>
            <w:r w:rsidR="001667AD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signed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36340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original </w:t>
            </w:r>
            <w:r w:rsidR="001167EE">
              <w:rPr>
                <w:rFonts w:ascii="Tahoma" w:hAnsi="Tahoma" w:cs="Tahoma"/>
                <w:color w:val="000000" w:themeColor="text1"/>
                <w:sz w:val="18"/>
                <w:szCs w:val="18"/>
              </w:rPr>
              <w:t>form</w:t>
            </w:r>
            <w:r w:rsidR="00903D8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to</w:t>
            </w:r>
            <w:r w:rsidR="006036FE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</w:p>
          <w:p w14:paraId="288F1358" w14:textId="744A61B9" w:rsidR="00073F97" w:rsidRPr="00295EBE" w:rsidRDefault="00DD621F" w:rsidP="00073F97">
            <w:pPr>
              <w:pStyle w:val="NormalDeed"/>
              <w:spacing w:before="120" w:after="0"/>
              <w:ind w:left="1560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986E98">
              <w:rPr>
                <w:rFonts w:ascii="Tahoma" w:hAnsi="Tahoma" w:cs="Tahoma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t xml:space="preserve">The Central Depository (Pte) Limited </w:t>
            </w:r>
            <w:r w:rsidR="00073F97" w:rsidRPr="00986E98">
              <w:rPr>
                <w:rFonts w:ascii="Tahoma" w:hAnsi="Tahoma" w:cs="Tahoma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br/>
            </w:r>
            <w:r w:rsidR="00073F97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P.O. Box 2002</w:t>
            </w:r>
            <w:r w:rsidR="00073F97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br/>
              <w:t>Robinson Road</w:t>
            </w:r>
            <w:r w:rsidR="00073F97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br/>
              <w:t>Singapore 904002</w:t>
            </w:r>
          </w:p>
          <w:p w14:paraId="014CAB0A" w14:textId="62488178" w:rsidR="00DD621F" w:rsidRDefault="00DD621F" w:rsidP="001167EE">
            <w:pPr>
              <w:pStyle w:val="NormalDeed"/>
              <w:spacing w:after="0"/>
              <w:ind w:left="1560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</w:p>
          <w:p w14:paraId="5EE6A8D7" w14:textId="0A563FD6" w:rsidR="00DD621F" w:rsidRPr="00295EBE" w:rsidRDefault="00DD621F" w:rsidP="001167EE">
            <w:pPr>
              <w:pStyle w:val="NormalWeb"/>
              <w:spacing w:before="120" w:beforeAutospacing="0" w:after="0" w:afterAutospacing="0"/>
              <w:ind w:left="1560"/>
              <w:rPr>
                <w:rFonts w:ascii="Tahoma" w:hAnsi="Tahoma" w:cs="Tahoma"/>
                <w:sz w:val="18"/>
                <w:szCs w:val="18"/>
              </w:rPr>
            </w:pPr>
            <w:r w:rsidRPr="00295EBE">
              <w:rPr>
                <w:rFonts w:ascii="Tahoma" w:hAnsi="Tahoma" w:cs="Tahoma"/>
                <w:sz w:val="18"/>
                <w:szCs w:val="18"/>
              </w:rPr>
              <w:t>Enquiries: +65 6535 7511</w:t>
            </w:r>
          </w:p>
          <w:p w14:paraId="5EE6A8D8" w14:textId="77777777" w:rsidR="00DD621F" w:rsidRPr="00295EBE" w:rsidRDefault="00DD621F" w:rsidP="001167EE">
            <w:pPr>
              <w:pStyle w:val="NormalWeb"/>
              <w:spacing w:before="0" w:beforeAutospacing="0" w:after="0" w:afterAutospacing="0"/>
              <w:ind w:left="1560"/>
              <w:rPr>
                <w:rFonts w:ascii="Tahoma" w:hAnsi="Tahoma" w:cs="Tahoma"/>
                <w:sz w:val="18"/>
                <w:szCs w:val="18"/>
              </w:rPr>
            </w:pPr>
            <w:r w:rsidRPr="00295EBE">
              <w:rPr>
                <w:rFonts w:ascii="Tahoma" w:hAnsi="Tahoma" w:cs="Tahoma"/>
                <w:sz w:val="18"/>
                <w:szCs w:val="18"/>
              </w:rPr>
              <w:t>Email: asksgx@sgx.com</w:t>
            </w:r>
          </w:p>
          <w:p w14:paraId="27676E62" w14:textId="77777777" w:rsidR="001167EE" w:rsidRDefault="001167EE" w:rsidP="001167EE">
            <w:pPr>
              <w:pStyle w:val="NormalDeed"/>
              <w:spacing w:after="0"/>
              <w:ind w:left="1134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263E27AA" w14:textId="15444D29" w:rsidR="001167EE" w:rsidRPr="00246DF1" w:rsidRDefault="001167EE" w:rsidP="001167EE">
            <w:pPr>
              <w:pStyle w:val="NormalDeed"/>
              <w:spacing w:after="0"/>
              <w:ind w:left="1134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No Stamp duty assessment is required as there </w:t>
            </w:r>
            <w:r w:rsidR="00246DF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should be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246DF1">
              <w:rPr>
                <w:rFonts w:ascii="Tahoma" w:hAnsi="Tahoma" w:cs="Tahoma"/>
                <w:color w:val="000000" w:themeColor="text1"/>
                <w:sz w:val="18"/>
                <w:szCs w:val="18"/>
              </w:rPr>
              <w:t>no change of beneficial ownership</w:t>
            </w:r>
            <w:r w:rsidR="00246DF1" w:rsidRPr="00246DF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during the </w:t>
            </w:r>
            <w:r w:rsidR="005F0C4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register </w:t>
            </w:r>
            <w:r w:rsidR="00246DF1" w:rsidRPr="00246DF1">
              <w:rPr>
                <w:rFonts w:ascii="Tahoma" w:hAnsi="Tahoma" w:cs="Tahoma"/>
                <w:color w:val="000000" w:themeColor="text1"/>
                <w:sz w:val="18"/>
                <w:szCs w:val="18"/>
              </w:rPr>
              <w:t>removal process</w:t>
            </w:r>
            <w:r w:rsidRPr="00246DF1">
              <w:rPr>
                <w:rFonts w:ascii="Tahoma" w:hAnsi="Tahoma" w:cs="Tahoma"/>
                <w:color w:val="000000" w:themeColor="text1"/>
                <w:sz w:val="18"/>
                <w:szCs w:val="18"/>
              </w:rPr>
              <w:t>.</w:t>
            </w:r>
          </w:p>
          <w:p w14:paraId="3A9658D6" w14:textId="13BD4F32" w:rsidR="00DD621F" w:rsidRPr="00DD621F" w:rsidRDefault="00DD621F" w:rsidP="00DC344F">
            <w:pPr>
              <w:spacing w:before="120" w:after="40"/>
              <w:ind w:left="1134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246DF1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CDP withdrawal fees payable:</w:t>
            </w:r>
          </w:p>
          <w:p w14:paraId="34DAE681" w14:textId="77777777" w:rsidR="00DD621F" w:rsidRDefault="00DD621F" w:rsidP="00DC344F">
            <w:pPr>
              <w:pStyle w:val="ListParagraph"/>
              <w:numPr>
                <w:ilvl w:val="0"/>
                <w:numId w:val="4"/>
              </w:numPr>
              <w:spacing w:before="120" w:after="40"/>
              <w:ind w:left="1701" w:hanging="425"/>
              <w:contextualSpacing/>
              <w:rPr>
                <w:rFonts w:ascii="Tahoma" w:hAnsi="Tahoma" w:cs="Tahoma"/>
                <w:color w:val="000000" w:themeColor="text1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Cs w:val="18"/>
              </w:rPr>
              <w:t>S$10.90 (inclusive of GST) per request for securities quantity 1,000 or less</w:t>
            </w:r>
          </w:p>
          <w:p w14:paraId="4CC9C338" w14:textId="77777777" w:rsidR="00DD621F" w:rsidRDefault="00DD621F" w:rsidP="00DC344F">
            <w:pPr>
              <w:pStyle w:val="ListParagraph"/>
              <w:numPr>
                <w:ilvl w:val="0"/>
                <w:numId w:val="4"/>
              </w:numPr>
              <w:spacing w:before="120" w:after="40"/>
              <w:ind w:left="1701" w:hanging="425"/>
              <w:contextualSpacing/>
              <w:rPr>
                <w:rFonts w:ascii="Tahoma" w:hAnsi="Tahoma" w:cs="Tahoma"/>
                <w:color w:val="000000" w:themeColor="text1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Cs w:val="18"/>
              </w:rPr>
              <w:t>S$27.25 (inclusive of GST) per request for securities quantity more than 1,000</w:t>
            </w:r>
          </w:p>
          <w:p w14:paraId="73532BCF" w14:textId="77777777" w:rsidR="00DD621F" w:rsidRPr="00B3484F" w:rsidRDefault="00DD621F" w:rsidP="00DC344F">
            <w:pPr>
              <w:pStyle w:val="ListParagraph"/>
              <w:numPr>
                <w:ilvl w:val="0"/>
                <w:numId w:val="4"/>
              </w:numPr>
              <w:spacing w:before="120" w:after="40"/>
              <w:ind w:left="1701" w:hanging="425"/>
              <w:contextualSpacing/>
              <w:rPr>
                <w:rFonts w:ascii="Tahoma" w:hAnsi="Tahoma" w:cs="Tahoma"/>
                <w:color w:val="000000" w:themeColor="text1"/>
                <w:szCs w:val="18"/>
              </w:rPr>
            </w:pPr>
            <w:r w:rsidRPr="00B3484F">
              <w:rPr>
                <w:rFonts w:ascii="Tahoma" w:hAnsi="Tahoma" w:cs="Tahoma"/>
                <w:color w:val="000000" w:themeColor="text1"/>
                <w:szCs w:val="18"/>
              </w:rPr>
              <w:t xml:space="preserve">S$2.18 (inclusive of GST) registration fee per certificate/confirmation note </w:t>
            </w:r>
          </w:p>
          <w:p w14:paraId="7790E067" w14:textId="3DC47C76" w:rsidR="00DD621F" w:rsidRDefault="00DD621F" w:rsidP="00DC344F">
            <w:pPr>
              <w:spacing w:before="120" w:after="40"/>
              <w:ind w:left="1134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Note: For CDP sub-account holders with DAs, CDP auto bills </w:t>
            </w:r>
            <w:r w:rsidR="00903D8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the 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DAs monthly. CDP direct account holders </w:t>
            </w:r>
            <w:r w:rsidR="00903D8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must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pay CDP via TT and attach a copy of remittance advice as evidence of payment. CDP’s bank account details</w:t>
            </w:r>
            <w:r w:rsidR="007003BA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via bank transfer</w:t>
            </w:r>
            <w:r w:rsidR="00903D8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hyperlink r:id="rId11" w:history="1">
              <w:r w:rsidR="006036FE" w:rsidRPr="001B57FF">
                <w:rPr>
                  <w:rStyle w:val="Hyperlink"/>
                  <w:rFonts w:ascii="Tahoma" w:hAnsi="Tahoma" w:cs="Tahoma"/>
                  <w:sz w:val="18"/>
                  <w:szCs w:val="18"/>
                </w:rPr>
                <w:t>https://www.sgx.com/securities/retail-investor/manage-my-account</w:t>
              </w:r>
            </w:hyperlink>
          </w:p>
          <w:p w14:paraId="5EE6A8DB" w14:textId="237FF5BE" w:rsidR="00DD621F" w:rsidRPr="00295EBE" w:rsidRDefault="00DD621F" w:rsidP="001167EE">
            <w:pPr>
              <w:pStyle w:val="NormalDeed"/>
              <w:spacing w:before="360" w:after="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2735E"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US"/>
              </w:rPr>
              <w:t>Step 2</w:t>
            </w:r>
            <w:r w:rsidRPr="0032735E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 xml:space="preserve">.  </w:t>
            </w:r>
            <w:r w:rsidR="00DC344F" w:rsidRPr="0032735E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 xml:space="preserve">       </w:t>
            </w:r>
            <w:r w:rsidRPr="00295EBE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 xml:space="preserve">The </w:t>
            </w:r>
            <w:r w:rsidR="00DC209A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share</w:t>
            </w:r>
            <w:r w:rsidRPr="00295EBE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 xml:space="preserve">holder must </w:t>
            </w:r>
            <w:r w:rsidRPr="00295EBE"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US"/>
              </w:rPr>
              <w:t>also</w:t>
            </w:r>
            <w:r w:rsidRPr="00295EBE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B505F6" w:rsidRPr="00295EB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complete</w:t>
            </w:r>
            <w:r w:rsidRPr="00295EB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a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Register Removal Request (SGD to AUD) form (“</w:t>
            </w:r>
            <w:hyperlink r:id="rId12" w:history="1">
              <w:r w:rsidRPr="00B505F6">
                <w:rPr>
                  <w:rStyle w:val="Hyperlink"/>
                  <w:rFonts w:ascii="Tahoma" w:hAnsi="Tahoma" w:cs="Tahoma"/>
                  <w:bCs/>
                  <w:sz w:val="18"/>
                  <w:szCs w:val="18"/>
                </w:rPr>
                <w:t>Removal Form A”</w:t>
              </w:r>
            </w:hyperlink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),</w:t>
            </w:r>
            <w:r w:rsidRPr="00295EBE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and deliver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the </w:t>
            </w:r>
            <w:r w:rsidR="005F7F5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duly 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completed</w:t>
            </w:r>
            <w:r w:rsidR="005F7F5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and </w:t>
            </w:r>
            <w:r w:rsidR="00DC209A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wet inked </w:t>
            </w:r>
            <w:r w:rsidR="005F7F5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signed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original form to</w:t>
            </w:r>
            <w:r w:rsidRPr="00295EBE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</w:p>
          <w:p w14:paraId="5EE6A8DE" w14:textId="1E4DD82A" w:rsidR="00DD621F" w:rsidRPr="00986E98" w:rsidRDefault="00DD621F" w:rsidP="001167EE">
            <w:pPr>
              <w:pStyle w:val="NormalDeed"/>
              <w:spacing w:before="120" w:after="0"/>
              <w:ind w:left="1560"/>
              <w:rPr>
                <w:rFonts w:ascii="Tahoma" w:hAnsi="Tahoma" w:cs="Tahoma"/>
                <w:b/>
                <w:color w:val="000000" w:themeColor="text1"/>
                <w:sz w:val="18"/>
                <w:szCs w:val="18"/>
                <w:u w:val="single"/>
              </w:rPr>
            </w:pPr>
            <w:r w:rsidRPr="00986E98">
              <w:rPr>
                <w:rFonts w:ascii="Tahoma" w:hAnsi="Tahoma" w:cs="Tahoma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t>Tricor Barbinder Share Registration Services</w:t>
            </w:r>
          </w:p>
          <w:p w14:paraId="5EE6A8DF" w14:textId="77777777" w:rsidR="00DD621F" w:rsidRPr="00295EBE" w:rsidRDefault="00DD621F" w:rsidP="001167EE">
            <w:pPr>
              <w:pStyle w:val="NormalDeed"/>
              <w:spacing w:after="0"/>
              <w:ind w:left="15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95EBE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(a division of Tricor Singapore Pte Ltd)</w:t>
            </w:r>
          </w:p>
          <w:p w14:paraId="5EE6A8E1" w14:textId="1337AEA7" w:rsidR="00DD621F" w:rsidRDefault="00C52E7A" w:rsidP="001167EE">
            <w:pPr>
              <w:pStyle w:val="NormalDeed"/>
              <w:spacing w:after="0"/>
              <w:ind w:left="1560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9 Raffles Place #26-01</w:t>
            </w:r>
          </w:p>
          <w:p w14:paraId="57F93D67" w14:textId="38FF4DCC" w:rsidR="00C52E7A" w:rsidRDefault="00C52E7A" w:rsidP="001167EE">
            <w:pPr>
              <w:pStyle w:val="NormalDeed"/>
              <w:spacing w:after="0"/>
              <w:ind w:left="1560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Republic Plaza I</w:t>
            </w:r>
          </w:p>
          <w:p w14:paraId="355852D1" w14:textId="177CF7CB" w:rsidR="00C52E7A" w:rsidRPr="00295EBE" w:rsidRDefault="00C52E7A" w:rsidP="001167EE">
            <w:pPr>
              <w:pStyle w:val="NormalDeed"/>
              <w:spacing w:after="0"/>
              <w:ind w:left="1560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Singapore 048619</w:t>
            </w:r>
          </w:p>
          <w:p w14:paraId="5EE6A8E2" w14:textId="59568324" w:rsidR="00DD621F" w:rsidRPr="00295EBE" w:rsidRDefault="00DD621F" w:rsidP="001167EE">
            <w:pPr>
              <w:pStyle w:val="NormalWeb"/>
              <w:spacing w:before="120" w:beforeAutospacing="0" w:after="0" w:afterAutospacing="0"/>
              <w:ind w:left="1560"/>
              <w:rPr>
                <w:rFonts w:ascii="Tahoma" w:hAnsi="Tahoma" w:cs="Tahoma"/>
                <w:sz w:val="18"/>
                <w:szCs w:val="18"/>
              </w:rPr>
            </w:pPr>
            <w:r w:rsidRPr="00295EBE">
              <w:rPr>
                <w:rFonts w:ascii="Tahoma" w:hAnsi="Tahoma" w:cs="Tahoma"/>
                <w:sz w:val="18"/>
                <w:szCs w:val="18"/>
              </w:rPr>
              <w:t xml:space="preserve">Enquiries: +65 </w:t>
            </w:r>
            <w:r w:rsidR="00C52E7A">
              <w:rPr>
                <w:rFonts w:ascii="Tahoma" w:hAnsi="Tahoma" w:cs="Tahoma"/>
                <w:sz w:val="18"/>
                <w:szCs w:val="18"/>
              </w:rPr>
              <w:t>6236 3550/3555</w:t>
            </w:r>
          </w:p>
          <w:p w14:paraId="5EE6A8E3" w14:textId="5023BF1D" w:rsidR="00DD621F" w:rsidRDefault="00DD621F" w:rsidP="001167EE">
            <w:pPr>
              <w:pStyle w:val="NormalWeb"/>
              <w:spacing w:before="0" w:beforeAutospacing="0" w:after="0" w:afterAutospacing="0"/>
              <w:ind w:left="1560"/>
              <w:rPr>
                <w:rFonts w:ascii="Tahoma" w:hAnsi="Tahoma" w:cs="Tahoma"/>
                <w:sz w:val="18"/>
                <w:szCs w:val="18"/>
              </w:rPr>
            </w:pPr>
            <w:r w:rsidRPr="00295EBE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hyperlink r:id="rId13" w:history="1">
              <w:r w:rsidRPr="001B57FF">
                <w:rPr>
                  <w:rStyle w:val="Hyperlink"/>
                  <w:rFonts w:ascii="Tahoma" w:hAnsi="Tahoma" w:cs="Tahoma"/>
                  <w:sz w:val="18"/>
                  <w:szCs w:val="18"/>
                </w:rPr>
                <w:t>is.corporateactions@sg.tricorglobal.com</w:t>
              </w:r>
            </w:hyperlink>
          </w:p>
          <w:p w14:paraId="41989534" w14:textId="77777777" w:rsidR="00DD621F" w:rsidRDefault="00DD621F" w:rsidP="00DC344F">
            <w:pPr>
              <w:pStyle w:val="NormalWeb"/>
              <w:spacing w:before="0" w:beforeAutospacing="0" w:after="0" w:afterAutospacing="0"/>
              <w:ind w:left="1134"/>
              <w:rPr>
                <w:rFonts w:ascii="Tahoma" w:hAnsi="Tahoma" w:cs="Tahoma"/>
                <w:sz w:val="18"/>
                <w:szCs w:val="18"/>
              </w:rPr>
            </w:pPr>
          </w:p>
          <w:p w14:paraId="32467A99" w14:textId="6DB38E5E" w:rsidR="008D6BC7" w:rsidRDefault="00DD621F" w:rsidP="00DC344F">
            <w:pPr>
              <w:pStyle w:val="NormalWeb"/>
              <w:spacing w:before="0" w:beforeAutospacing="0" w:after="0" w:afterAutospacing="0"/>
              <w:ind w:left="1134"/>
              <w:rPr>
                <w:rFonts w:ascii="Tahoma" w:hAnsi="Tahoma" w:cs="Tahoma"/>
                <w:sz w:val="18"/>
                <w:szCs w:val="18"/>
              </w:rPr>
            </w:pPr>
            <w:r w:rsidRPr="008D6BC7">
              <w:rPr>
                <w:rFonts w:ascii="Tahoma" w:hAnsi="Tahoma" w:cs="Tahoma"/>
                <w:b/>
                <w:bCs/>
                <w:sz w:val="18"/>
                <w:szCs w:val="18"/>
              </w:rPr>
              <w:t>Tricor fee payable:</w:t>
            </w:r>
            <w:r w:rsidR="009943E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S$</w:t>
            </w:r>
            <w:r w:rsidR="008D6BC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34.88, </w:t>
            </w:r>
            <w:r w:rsidR="00DC209A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to </w:t>
            </w:r>
            <w:r w:rsidR="008D6BC7">
              <w:rPr>
                <w:rFonts w:ascii="Tahoma" w:hAnsi="Tahoma" w:cs="Tahoma"/>
                <w:color w:val="000000" w:themeColor="text1"/>
                <w:sz w:val="18"/>
                <w:szCs w:val="18"/>
              </w:rPr>
              <w:t>e</w:t>
            </w:r>
            <w:r w:rsidR="008D6BC7">
              <w:rPr>
                <w:rFonts w:ascii="Tahoma" w:hAnsi="Tahoma" w:cs="Tahoma"/>
                <w:sz w:val="18"/>
                <w:szCs w:val="18"/>
              </w:rPr>
              <w:t xml:space="preserve">mail </w:t>
            </w:r>
            <w:hyperlink r:id="rId14" w:history="1">
              <w:r w:rsidR="00903D81" w:rsidRPr="001B57FF">
                <w:rPr>
                  <w:rStyle w:val="Hyperlink"/>
                  <w:rFonts w:ascii="Tahoma" w:hAnsi="Tahoma" w:cs="Tahoma"/>
                  <w:sz w:val="18"/>
                  <w:szCs w:val="18"/>
                </w:rPr>
                <w:t>is.corporateactions@sg.tricorglobal.com</w:t>
              </w:r>
            </w:hyperlink>
            <w:r w:rsidR="00903D8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D6BC7" w:rsidRPr="008D6BC7">
              <w:rPr>
                <w:rFonts w:ascii="Tahoma" w:hAnsi="Tahoma" w:cs="Tahoma"/>
                <w:sz w:val="18"/>
                <w:szCs w:val="18"/>
              </w:rPr>
              <w:t>for bank details</w:t>
            </w:r>
          </w:p>
          <w:p w14:paraId="144E11CD" w14:textId="77777777" w:rsidR="00DD621F" w:rsidRPr="00295EBE" w:rsidRDefault="00DD621F" w:rsidP="002872F0">
            <w:pPr>
              <w:pStyle w:val="NormalWeb"/>
              <w:spacing w:before="0" w:beforeAutospacing="0" w:after="0" w:afterAutospacing="0"/>
              <w:ind w:left="743"/>
              <w:rPr>
                <w:rFonts w:ascii="Tahoma" w:hAnsi="Tahoma" w:cs="Tahoma"/>
                <w:sz w:val="18"/>
                <w:szCs w:val="18"/>
              </w:rPr>
            </w:pPr>
          </w:p>
          <w:p w14:paraId="5EE6A8E8" w14:textId="77777777" w:rsidR="00DD621F" w:rsidRPr="00295EBE" w:rsidRDefault="00DD621F" w:rsidP="002872F0">
            <w:pPr>
              <w:pStyle w:val="NormalDeed"/>
              <w:spacing w:after="120"/>
              <w:ind w:left="743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51FAC5D5" w14:textId="77777777" w:rsidR="00B47966" w:rsidRDefault="00B47966" w:rsidP="00B47966">
            <w:pPr>
              <w:pStyle w:val="NormalWeb"/>
              <w:spacing w:before="0" w:beforeAutospacing="0" w:after="0" w:afterAutospacing="0"/>
              <w:ind w:left="1134" w:hanging="1134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  <w:p w14:paraId="5EE6A8E9" w14:textId="4410C24C" w:rsidR="00DD621F" w:rsidRPr="00A92745" w:rsidRDefault="008D6BC7" w:rsidP="008F42C3">
            <w:pPr>
              <w:pStyle w:val="NormalWeb"/>
              <w:spacing w:before="120" w:beforeAutospacing="0" w:after="240" w:afterAutospacing="0"/>
              <w:ind w:left="1134" w:hanging="1134"/>
              <w:rPr>
                <w:rFonts w:ascii="Tahoma" w:hAnsi="Tahoma" w:cs="Tahoma"/>
                <w:sz w:val="20"/>
                <w:szCs w:val="20"/>
              </w:rPr>
            </w:pPr>
            <w:r w:rsidRPr="0032735E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Timing</w:t>
            </w:r>
            <w:r w:rsidRPr="0032735E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1167EE" w:rsidRPr="0032735E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1167EE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      </w:t>
            </w:r>
            <w:r w:rsidR="00DD621F" w:rsidRPr="00295EBE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Once </w:t>
            </w:r>
            <w:r w:rsidR="00903D8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all </w:t>
            </w:r>
            <w:r w:rsidR="00DD621F" w:rsidRPr="00295EBE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forms are received </w:t>
            </w:r>
            <w:r w:rsidR="00903D8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and </w:t>
            </w:r>
            <w:r w:rsidR="00DD621F" w:rsidRPr="00295EBE">
              <w:rPr>
                <w:rFonts w:ascii="Tahoma" w:hAnsi="Tahoma" w:cs="Tahoma"/>
                <w:color w:val="000000" w:themeColor="text1"/>
                <w:sz w:val="18"/>
                <w:szCs w:val="18"/>
              </w:rPr>
              <w:t>validated</w:t>
            </w:r>
            <w:r w:rsidR="008F42C3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to be in good order</w:t>
            </w:r>
            <w:r w:rsidR="00DD621F" w:rsidRPr="00295EBE">
              <w:rPr>
                <w:rFonts w:ascii="Tahoma" w:hAnsi="Tahoma" w:cs="Tahoma"/>
                <w:color w:val="000000" w:themeColor="text1"/>
                <w:sz w:val="18"/>
                <w:szCs w:val="18"/>
              </w:rPr>
              <w:t>,</w:t>
            </w:r>
            <w:r w:rsidR="00660B23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8F42C3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with corresponding </w:t>
            </w:r>
            <w:r w:rsidR="00660B23">
              <w:rPr>
                <w:rFonts w:ascii="Tahoma" w:hAnsi="Tahoma" w:cs="Tahoma"/>
                <w:color w:val="000000" w:themeColor="text1"/>
                <w:sz w:val="18"/>
                <w:szCs w:val="18"/>
              </w:rPr>
              <w:t>fees paid,</w:t>
            </w:r>
            <w:r w:rsidR="00DD621F" w:rsidRPr="00295EBE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the overall process to withdraw and </w:t>
            </w:r>
            <w:r w:rsidR="00DD621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remove shares from the Singapore </w:t>
            </w:r>
            <w:r w:rsidR="00986E9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</w:t>
            </w:r>
            <w:r w:rsidR="008F42C3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ranch </w:t>
            </w:r>
            <w:r w:rsidR="00DD621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register to the Australian register is expected to take </w:t>
            </w:r>
            <w:r w:rsidR="00433230">
              <w:rPr>
                <w:rFonts w:ascii="Tahoma" w:hAnsi="Tahoma" w:cs="Tahoma"/>
                <w:color w:val="000000" w:themeColor="text1"/>
                <w:sz w:val="18"/>
                <w:szCs w:val="18"/>
              </w:rPr>
              <w:t>at least</w:t>
            </w:r>
            <w:r w:rsidR="007431A3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DD621F">
              <w:rPr>
                <w:rFonts w:ascii="Tahoma" w:hAnsi="Tahoma" w:cs="Tahoma"/>
                <w:color w:val="000000" w:themeColor="text1"/>
                <w:sz w:val="18"/>
                <w:szCs w:val="18"/>
              </w:rPr>
              <w:t>nine (9) business days</w:t>
            </w:r>
            <w:r w:rsidR="007431A3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to be completed</w:t>
            </w:r>
            <w:r w:rsidR="00DD621F">
              <w:rPr>
                <w:rFonts w:ascii="Tahoma" w:hAnsi="Tahoma" w:cs="Tahoma"/>
                <w:color w:val="000000" w:themeColor="text1"/>
                <w:sz w:val="18"/>
                <w:szCs w:val="18"/>
              </w:rPr>
              <w:t>. On the Australian register the shares will be credited to</w:t>
            </w:r>
            <w:r w:rsidR="00DD621F" w:rsidRPr="00295EBE">
              <w:rPr>
                <w:rFonts w:ascii="Tahoma" w:hAnsi="Tahoma" w:cs="Tahoma"/>
                <w:sz w:val="18"/>
                <w:szCs w:val="18"/>
              </w:rPr>
              <w:t xml:space="preserve"> either the CHESS or issuer sponsored sub</w:t>
            </w:r>
            <w:r w:rsidR="005F0C46">
              <w:rPr>
                <w:rFonts w:ascii="Tahoma" w:hAnsi="Tahoma" w:cs="Tahoma"/>
                <w:sz w:val="18"/>
                <w:szCs w:val="18"/>
              </w:rPr>
              <w:t>-</w:t>
            </w:r>
            <w:r w:rsidR="00DD621F" w:rsidRPr="00295EBE">
              <w:rPr>
                <w:rFonts w:ascii="Tahoma" w:hAnsi="Tahoma" w:cs="Tahoma"/>
                <w:sz w:val="18"/>
                <w:szCs w:val="18"/>
              </w:rPr>
              <w:t>register as per the</w:t>
            </w:r>
            <w:r>
              <w:rPr>
                <w:rFonts w:ascii="Tahoma" w:hAnsi="Tahoma" w:cs="Tahoma"/>
                <w:sz w:val="18"/>
                <w:szCs w:val="18"/>
              </w:rPr>
              <w:t xml:space="preserve"> instruction on Removal Form A</w:t>
            </w:r>
            <w:r w:rsidR="00DD621F" w:rsidRPr="00295EBE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DD621F" w:rsidRPr="00A92745" w14:paraId="057A3A30" w14:textId="77777777" w:rsidTr="00DD621F">
        <w:tblPrEx>
          <w:tblBorders>
            <w:top w:val="none" w:sz="0" w:space="0" w:color="auto"/>
          </w:tblBorders>
        </w:tblPrEx>
        <w:tc>
          <w:tcPr>
            <w:tcW w:w="15417" w:type="dxa"/>
            <w:shd w:val="clear" w:color="auto" w:fill="auto"/>
          </w:tcPr>
          <w:p w14:paraId="574ECF79" w14:textId="77B113A1" w:rsidR="00975982" w:rsidRPr="00295EBE" w:rsidRDefault="00975982" w:rsidP="00975982">
            <w:pPr>
              <w:pStyle w:val="NormalDeed"/>
              <w:spacing w:before="120" w:after="0"/>
              <w:ind w:left="742" w:hanging="742"/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lastRenderedPageBreak/>
              <w:br w:type="page"/>
            </w:r>
          </w:p>
        </w:tc>
      </w:tr>
      <w:tr w:rsidR="00DD621F" w:rsidRPr="00A92745" w14:paraId="7D932467" w14:textId="77777777" w:rsidTr="001167EE">
        <w:tblPrEx>
          <w:tblBorders>
            <w:top w:val="none" w:sz="0" w:space="0" w:color="auto"/>
          </w:tblBorders>
        </w:tblPrEx>
        <w:tc>
          <w:tcPr>
            <w:tcW w:w="15417" w:type="dxa"/>
            <w:shd w:val="clear" w:color="auto" w:fill="D9D9D9" w:themeFill="background1" w:themeFillShade="D9"/>
          </w:tcPr>
          <w:p w14:paraId="60CF854C" w14:textId="77777777" w:rsidR="00DD621F" w:rsidRDefault="00DD621F" w:rsidP="00DD621F">
            <w:pPr>
              <w:pStyle w:val="NormalDeed"/>
              <w:spacing w:before="120" w:after="120"/>
              <w:ind w:left="743" w:hanging="743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DD621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Register removal – Australia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to Singapore</w:t>
            </w:r>
          </w:p>
          <w:p w14:paraId="3752C66D" w14:textId="2DC7E3AB" w:rsidR="0032735E" w:rsidRPr="0032735E" w:rsidRDefault="0032735E" w:rsidP="00DD621F">
            <w:pPr>
              <w:pStyle w:val="NormalDeed"/>
              <w:spacing w:before="120" w:after="120"/>
              <w:ind w:left="743" w:hanging="743"/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</w:pPr>
            <w:r w:rsidRPr="0032735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Shares to be deposited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in Singapore</w:t>
            </w:r>
            <w:r w:rsidRPr="0032735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into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a </w:t>
            </w:r>
            <w:r w:rsidRPr="0032735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CDP Direct Account</w:t>
            </w:r>
            <w:r w:rsidRPr="0032735E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en-GB"/>
              </w:rPr>
              <w:t xml:space="preserve"> or Sub-account maintained with a D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en-GB"/>
              </w:rPr>
              <w:t>epository Agent</w:t>
            </w:r>
          </w:p>
        </w:tc>
      </w:tr>
      <w:tr w:rsidR="00DD621F" w:rsidRPr="00A92745" w14:paraId="6F185183" w14:textId="77777777" w:rsidTr="00DD621F">
        <w:tblPrEx>
          <w:tblBorders>
            <w:top w:val="none" w:sz="0" w:space="0" w:color="auto"/>
          </w:tblBorders>
        </w:tblPrEx>
        <w:tc>
          <w:tcPr>
            <w:tcW w:w="15417" w:type="dxa"/>
            <w:shd w:val="clear" w:color="auto" w:fill="auto"/>
          </w:tcPr>
          <w:p w14:paraId="315D85EA" w14:textId="46F0784D" w:rsidR="004D28D2" w:rsidRDefault="008D6BC7" w:rsidP="008D6BC7">
            <w:pPr>
              <w:pStyle w:val="NormalDeed"/>
              <w:spacing w:before="120" w:after="0"/>
              <w:ind w:left="742" w:hanging="742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32735E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Step 1</w:t>
            </w:r>
            <w:r w:rsidRPr="0032735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.  </w:t>
            </w:r>
            <w:r w:rsidR="001167EE" w:rsidRPr="0032735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     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Shareholder completes </w:t>
            </w:r>
            <w:r w:rsidR="001167E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a </w:t>
            </w:r>
            <w:r w:rsidR="00DE40ED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Register Removal Request (AUS to SGD) form (“</w:t>
            </w:r>
            <w:hyperlink r:id="rId15" w:history="1">
              <w:r w:rsidR="00DE40ED" w:rsidRPr="00B505F6">
                <w:rPr>
                  <w:rStyle w:val="Hyperlink"/>
                  <w:rFonts w:ascii="Tahoma" w:hAnsi="Tahoma" w:cs="Tahoma"/>
                  <w:bCs/>
                  <w:sz w:val="18"/>
                  <w:szCs w:val="18"/>
                </w:rPr>
                <w:t>Removal Form</w:t>
              </w:r>
              <w:r w:rsidR="004D28D2" w:rsidRPr="00B505F6">
                <w:rPr>
                  <w:rStyle w:val="Hyperlink"/>
                  <w:rFonts w:ascii="Tahoma" w:hAnsi="Tahoma" w:cs="Tahoma"/>
                  <w:bCs/>
                  <w:sz w:val="18"/>
                  <w:szCs w:val="18"/>
                </w:rPr>
                <w:t xml:space="preserve"> B</w:t>
              </w:r>
            </w:hyperlink>
            <w:r w:rsidR="004D28D2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”)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and provides the</w:t>
            </w:r>
            <w:r w:rsidRPr="008D6BC7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form to Computershare’ Global Transaction </w:t>
            </w:r>
            <w:r w:rsidR="00903D8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team:</w:t>
            </w:r>
          </w:p>
          <w:p w14:paraId="4A049E09" w14:textId="4C32A355" w:rsidR="00975982" w:rsidRPr="00975982" w:rsidRDefault="0036340F" w:rsidP="001167EE">
            <w:pPr>
              <w:pStyle w:val="NormalDeed"/>
              <w:spacing w:before="120" w:after="0"/>
              <w:ind w:left="1560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b</w:t>
            </w:r>
            <w:r w:rsidR="00975982" w:rsidRPr="00975982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 xml:space="preserve">y email: </w:t>
            </w:r>
            <w:hyperlink r:id="rId16" w:history="1">
              <w:r w:rsidR="00975982" w:rsidRPr="00975982">
                <w:rPr>
                  <w:rStyle w:val="Hyperlink"/>
                  <w:rFonts w:ascii="Tahoma" w:hAnsi="Tahoma" w:cs="Tahoma"/>
                  <w:sz w:val="18"/>
                  <w:szCs w:val="18"/>
                </w:rPr>
                <w:t>au.globaltransactions@computershare.com</w:t>
              </w:r>
            </w:hyperlink>
          </w:p>
          <w:p w14:paraId="07C798AD" w14:textId="3949D766" w:rsidR="00CC54E9" w:rsidRPr="00975982" w:rsidRDefault="0036340F" w:rsidP="001167EE">
            <w:pPr>
              <w:pStyle w:val="NormalDeed"/>
              <w:spacing w:before="120" w:after="0"/>
              <w:ind w:left="1560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o</w:t>
            </w:r>
            <w:r w:rsidR="00975982" w:rsidRPr="00975982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 xml:space="preserve">r post: </w:t>
            </w:r>
            <w:r w:rsidR="00975982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CC54E9" w:rsidRPr="00975982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Global Transactions Team</w:t>
            </w:r>
          </w:p>
          <w:p w14:paraId="0F38D5A1" w14:textId="77777777" w:rsidR="00CC54E9" w:rsidRPr="00975982" w:rsidRDefault="00CC54E9" w:rsidP="00246DF1">
            <w:pPr>
              <w:pStyle w:val="NormalDeed"/>
              <w:spacing w:after="0"/>
              <w:ind w:left="2302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975982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Computershare Limited</w:t>
            </w:r>
          </w:p>
          <w:p w14:paraId="12683E7C" w14:textId="77777777" w:rsidR="00CC54E9" w:rsidRPr="00975982" w:rsidRDefault="00CC54E9" w:rsidP="00246DF1">
            <w:pPr>
              <w:pStyle w:val="NormalDeed"/>
              <w:spacing w:after="0"/>
              <w:ind w:left="2302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975982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PO Box 103</w:t>
            </w:r>
          </w:p>
          <w:p w14:paraId="7A08062C" w14:textId="77777777" w:rsidR="00CC54E9" w:rsidRPr="00975982" w:rsidRDefault="00CC54E9" w:rsidP="00246DF1">
            <w:pPr>
              <w:pStyle w:val="NormalDeed"/>
              <w:spacing w:after="0"/>
              <w:ind w:left="2302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975982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Abbotsford Victoria 3067 Australia</w:t>
            </w:r>
          </w:p>
          <w:p w14:paraId="1C020F39" w14:textId="2CCE837A" w:rsidR="00903D81" w:rsidRDefault="00903D81" w:rsidP="00903D81">
            <w:pPr>
              <w:spacing w:before="240" w:after="40"/>
              <w:ind w:left="1134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75982">
              <w:rPr>
                <w:rFonts w:ascii="Tahoma" w:hAnsi="Tahoma" w:cs="Tahoma"/>
                <w:color w:val="000000" w:themeColor="text1"/>
                <w:sz w:val="18"/>
                <w:szCs w:val="18"/>
              </w:rPr>
              <w:t>If the shares are held in Australia on the CHESS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sub-register the shareholder’s broker or custodian must convert them to the issuer sponsored sub-register.</w:t>
            </w:r>
          </w:p>
          <w:p w14:paraId="0BFA4A53" w14:textId="77777777" w:rsidR="00903D81" w:rsidRDefault="00903D81" w:rsidP="001167EE">
            <w:pPr>
              <w:pStyle w:val="BodyText"/>
              <w:spacing w:after="0"/>
              <w:ind w:left="1134" w:right="36"/>
              <w:rPr>
                <w:rFonts w:ascii="Tahoma" w:hAnsi="Tahoma" w:cs="Tahoma"/>
                <w:color w:val="000000" w:themeColor="text1"/>
                <w:szCs w:val="18"/>
              </w:rPr>
            </w:pPr>
          </w:p>
          <w:p w14:paraId="71D0F4EF" w14:textId="5845E1F5" w:rsidR="00CC54E9" w:rsidRPr="00CC54E9" w:rsidRDefault="00CC54E9" w:rsidP="001167EE">
            <w:pPr>
              <w:pStyle w:val="BodyText"/>
              <w:spacing w:after="0"/>
              <w:ind w:left="1134" w:right="36"/>
              <w:rPr>
                <w:rFonts w:ascii="Tahoma" w:hAnsi="Tahoma" w:cs="Tahoma"/>
                <w:color w:val="000000" w:themeColor="text1"/>
                <w:szCs w:val="18"/>
              </w:rPr>
            </w:pPr>
            <w:r w:rsidRPr="00CC54E9">
              <w:rPr>
                <w:rFonts w:ascii="Tahoma" w:hAnsi="Tahoma" w:cs="Tahoma"/>
                <w:color w:val="000000" w:themeColor="text1"/>
                <w:szCs w:val="18"/>
              </w:rPr>
              <w:t>E</w:t>
            </w:r>
            <w:r>
              <w:rPr>
                <w:rFonts w:ascii="Tahoma" w:hAnsi="Tahoma" w:cs="Tahoma"/>
                <w:color w:val="000000" w:themeColor="text1"/>
                <w:szCs w:val="18"/>
              </w:rPr>
              <w:t>nquiries</w:t>
            </w:r>
            <w:r w:rsidRPr="00CC54E9">
              <w:rPr>
                <w:rFonts w:ascii="Tahoma" w:hAnsi="Tahoma" w:cs="Tahoma"/>
                <w:color w:val="000000" w:themeColor="text1"/>
                <w:szCs w:val="18"/>
              </w:rPr>
              <w:t xml:space="preserve">: </w:t>
            </w:r>
            <w:hyperlink r:id="rId17" w:history="1">
              <w:r w:rsidRPr="00CC54E9">
                <w:rPr>
                  <w:rStyle w:val="Hyperlink"/>
                  <w:rFonts w:ascii="Tahoma" w:hAnsi="Tahoma" w:cs="Tahoma"/>
                  <w:szCs w:val="18"/>
                </w:rPr>
                <w:t>au.globaltransactions@computershare.com</w:t>
              </w:r>
            </w:hyperlink>
          </w:p>
          <w:p w14:paraId="78516224" w14:textId="53A62349" w:rsidR="00CC54E9" w:rsidRPr="00295EBE" w:rsidRDefault="00CC54E9" w:rsidP="009943E0">
            <w:pPr>
              <w:pStyle w:val="BodyText"/>
              <w:spacing w:before="120" w:after="0"/>
              <w:ind w:left="1985" w:right="34"/>
              <w:rPr>
                <w:rFonts w:ascii="Tahoma" w:hAnsi="Tahoma" w:cs="Tahoma"/>
                <w:color w:val="000000" w:themeColor="text1"/>
                <w:szCs w:val="18"/>
              </w:rPr>
            </w:pPr>
            <w:r w:rsidRPr="00295EBE">
              <w:rPr>
                <w:rFonts w:ascii="Tahoma" w:hAnsi="Tahoma" w:cs="Tahoma"/>
                <w:color w:val="221F1F"/>
                <w:szCs w:val="18"/>
              </w:rPr>
              <w:t>(within Australia)   130</w:t>
            </w:r>
            <w:r w:rsidRPr="00295EBE">
              <w:rPr>
                <w:rFonts w:ascii="Tahoma" w:hAnsi="Tahoma" w:cs="Tahoma"/>
                <w:color w:val="000000" w:themeColor="text1"/>
                <w:szCs w:val="18"/>
              </w:rPr>
              <w:t>0 731 056</w:t>
            </w:r>
          </w:p>
          <w:p w14:paraId="652EFFE1" w14:textId="105F7778" w:rsidR="00CC54E9" w:rsidRPr="00295EBE" w:rsidRDefault="00CC54E9" w:rsidP="001167EE">
            <w:pPr>
              <w:pStyle w:val="BodyText"/>
              <w:spacing w:after="0"/>
              <w:ind w:left="1985" w:right="36"/>
              <w:rPr>
                <w:rFonts w:ascii="Tahoma" w:hAnsi="Tahoma" w:cs="Tahoma"/>
                <w:color w:val="000000" w:themeColor="text1"/>
                <w:szCs w:val="18"/>
              </w:rPr>
            </w:pPr>
            <w:r w:rsidRPr="00295EBE">
              <w:rPr>
                <w:rFonts w:ascii="Tahoma" w:hAnsi="Tahoma" w:cs="Tahoma"/>
                <w:color w:val="000000" w:themeColor="text1"/>
                <w:szCs w:val="18"/>
              </w:rPr>
              <w:t xml:space="preserve">(outside Australia) </w:t>
            </w:r>
            <w:r w:rsidR="00B47966">
              <w:rPr>
                <w:rFonts w:ascii="Tahoma" w:hAnsi="Tahoma" w:cs="Tahoma"/>
                <w:color w:val="000000" w:themeColor="text1"/>
                <w:szCs w:val="18"/>
              </w:rPr>
              <w:t>+</w:t>
            </w:r>
            <w:r w:rsidRPr="00295EBE">
              <w:rPr>
                <w:rFonts w:ascii="Tahoma" w:hAnsi="Tahoma" w:cs="Tahoma"/>
                <w:color w:val="000000" w:themeColor="text1"/>
                <w:szCs w:val="18"/>
              </w:rPr>
              <w:t>61 3 9415 5361</w:t>
            </w:r>
          </w:p>
          <w:p w14:paraId="2F37ABE2" w14:textId="77777777" w:rsidR="00CC54E9" w:rsidRDefault="00CC54E9" w:rsidP="00CC54E9">
            <w:pPr>
              <w:pStyle w:val="NormalDeed"/>
              <w:spacing w:before="120" w:after="0"/>
              <w:ind w:left="743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</w:p>
          <w:p w14:paraId="021D24A1" w14:textId="31274913" w:rsidR="0036340F" w:rsidRDefault="00903D81" w:rsidP="00903D8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18"/>
                <w:szCs w:val="18"/>
              </w:rPr>
            </w:pPr>
            <w:r w:rsidRPr="0032735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Step 2.          </w:t>
            </w:r>
            <w:r w:rsidR="00DC344F" w:rsidRPr="008D6BC7">
              <w:rPr>
                <w:rFonts w:ascii="Tahoma" w:hAnsi="Tahoma" w:cs="Tahoma"/>
                <w:b/>
                <w:bCs/>
                <w:sz w:val="18"/>
                <w:szCs w:val="18"/>
              </w:rPr>
              <w:t>Tricor fee payable</w:t>
            </w:r>
            <w:r w:rsidR="00DC344F" w:rsidRPr="001167EE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t>*</w:t>
            </w:r>
            <w:r w:rsidR="00DC344F" w:rsidRPr="008D6BC7">
              <w:rPr>
                <w:rFonts w:ascii="Tahoma" w:hAnsi="Tahoma" w:cs="Tahoma"/>
                <w:b/>
                <w:bCs/>
                <w:sz w:val="18"/>
                <w:szCs w:val="18"/>
              </w:rPr>
              <w:t>:</w:t>
            </w:r>
            <w:r w:rsidR="009943E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DC344F">
              <w:rPr>
                <w:rFonts w:ascii="Tahoma" w:hAnsi="Tahoma" w:cs="Tahoma"/>
                <w:color w:val="000000" w:themeColor="text1"/>
                <w:sz w:val="18"/>
                <w:szCs w:val="18"/>
              </w:rPr>
              <w:t>S$55.78,</w:t>
            </w:r>
            <w:r w:rsidR="0036340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the shareholder should</w:t>
            </w:r>
            <w:r w:rsidR="00DC344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e</w:t>
            </w:r>
            <w:r w:rsidR="00DC344F">
              <w:rPr>
                <w:rFonts w:ascii="Tahoma" w:hAnsi="Tahoma" w:cs="Tahoma"/>
                <w:sz w:val="18"/>
                <w:szCs w:val="18"/>
              </w:rPr>
              <w:t xml:space="preserve">mail </w:t>
            </w:r>
            <w:hyperlink r:id="rId18" w:history="1">
              <w:r w:rsidR="00C019A2" w:rsidRPr="001B57FF">
                <w:rPr>
                  <w:rStyle w:val="Hyperlink"/>
                  <w:rFonts w:ascii="Tahoma" w:hAnsi="Tahoma" w:cs="Tahoma"/>
                  <w:sz w:val="18"/>
                  <w:szCs w:val="18"/>
                </w:rPr>
                <w:t>is.corporateactions@sg.tricorglobal.com</w:t>
              </w:r>
            </w:hyperlink>
            <w:r w:rsidR="00C019A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C344F" w:rsidRPr="008D6BC7">
              <w:rPr>
                <w:rFonts w:ascii="Tahoma" w:hAnsi="Tahoma" w:cs="Tahoma"/>
                <w:sz w:val="18"/>
                <w:szCs w:val="18"/>
              </w:rPr>
              <w:t>for bank details</w:t>
            </w:r>
            <w:r w:rsidR="0036340F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77346215" w14:textId="77777777" w:rsidR="0036340F" w:rsidRDefault="0036340F" w:rsidP="00903D8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18"/>
                <w:szCs w:val="18"/>
              </w:rPr>
            </w:pPr>
          </w:p>
          <w:p w14:paraId="3092DD0B" w14:textId="11679258" w:rsidR="008D6BC7" w:rsidRDefault="00DC344F" w:rsidP="00B47966">
            <w:pPr>
              <w:pStyle w:val="NormalWeb"/>
              <w:spacing w:before="0" w:beforeAutospacing="0" w:after="0" w:afterAutospacing="0"/>
              <w:ind w:left="3011" w:hanging="1843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167EE">
              <w:rPr>
                <w:rFonts w:ascii="Tahoma" w:hAnsi="Tahoma" w:cs="Tahoma"/>
                <w:color w:val="0070C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DC344F">
              <w:rPr>
                <w:rFonts w:ascii="Tahoma" w:hAnsi="Tahoma" w:cs="Tahoma"/>
                <w:color w:val="000000" w:themeColor="text1"/>
                <w:sz w:val="18"/>
                <w:szCs w:val="18"/>
              </w:rPr>
              <w:t>inclusive</w:t>
            </w:r>
            <w:proofErr w:type="gramEnd"/>
            <w:r w:rsidRPr="00DC344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of deposition fee payable to</w:t>
            </w:r>
            <w:r w:rsidR="00B73BD9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CDP</w:t>
            </w:r>
            <w:r w:rsidRPr="00DC344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</w:p>
          <w:p w14:paraId="2FD0E06E" w14:textId="056A7F8A" w:rsidR="00DC344F" w:rsidRDefault="00DC344F" w:rsidP="008D6BC7">
            <w:pPr>
              <w:pStyle w:val="NormalDeed"/>
              <w:spacing w:after="0"/>
              <w:ind w:left="709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460FDA1C" w14:textId="355944D6" w:rsidR="009943E0" w:rsidRDefault="009943E0" w:rsidP="009943E0">
            <w:pPr>
              <w:pStyle w:val="NormalDeed"/>
              <w:spacing w:after="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4136D1B8" w14:textId="4E2BF320" w:rsidR="00C019A2" w:rsidRPr="00295EBE" w:rsidRDefault="00DC344F" w:rsidP="009943E0">
            <w:pPr>
              <w:pStyle w:val="NormalDeed"/>
              <w:spacing w:before="120"/>
              <w:ind w:left="1134" w:hanging="1134"/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</w:pPr>
            <w:r w:rsidRPr="0032735E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Timing</w:t>
            </w:r>
            <w:r w:rsidRPr="0032735E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1167EE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       </w:t>
            </w:r>
            <w:r w:rsidR="008D6BC7" w:rsidRPr="00295EBE">
              <w:rPr>
                <w:rFonts w:ascii="Tahoma" w:hAnsi="Tahoma" w:cs="Tahoma"/>
                <w:color w:val="000000" w:themeColor="text1"/>
                <w:sz w:val="18"/>
                <w:szCs w:val="18"/>
              </w:rPr>
              <w:t>Once</w:t>
            </w:r>
            <w:r w:rsidR="005F0C4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Removal F</w:t>
            </w:r>
            <w:r w:rsidR="008D6BC7" w:rsidRPr="00295EBE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orm </w:t>
            </w:r>
            <w:r w:rsidR="005F0C46">
              <w:rPr>
                <w:rFonts w:ascii="Tahoma" w:hAnsi="Tahoma" w:cs="Tahoma"/>
                <w:color w:val="000000" w:themeColor="text1"/>
                <w:sz w:val="18"/>
                <w:szCs w:val="18"/>
              </w:rPr>
              <w:t>B is</w:t>
            </w:r>
            <w:r w:rsidR="008D6BC7" w:rsidRPr="00295EBE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received </w:t>
            </w:r>
            <w:r w:rsidR="00660B23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and </w:t>
            </w:r>
            <w:r w:rsidR="008D6BC7" w:rsidRPr="00295EBE">
              <w:rPr>
                <w:rFonts w:ascii="Tahoma" w:hAnsi="Tahoma" w:cs="Tahoma"/>
                <w:color w:val="000000" w:themeColor="text1"/>
                <w:sz w:val="18"/>
                <w:szCs w:val="18"/>
              </w:rPr>
              <w:t>validated</w:t>
            </w:r>
            <w:r w:rsidR="007066B2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to be in good order</w:t>
            </w:r>
            <w:r w:rsidR="008D6BC7" w:rsidRPr="00295EBE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, </w:t>
            </w:r>
            <w:r w:rsidR="007066B2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with corresponding </w:t>
            </w:r>
            <w:r w:rsidR="00660B23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fees paid, </w:t>
            </w:r>
            <w:r w:rsidR="008D6BC7" w:rsidRPr="00295EBE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the overall process to </w:t>
            </w:r>
            <w:r w:rsidR="008D6BC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remove shares from the 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Australian</w:t>
            </w:r>
            <w:r w:rsidR="008D6BC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register to the 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Singapore</w:t>
            </w:r>
            <w:r w:rsidR="008D6BC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986E98">
              <w:rPr>
                <w:rFonts w:ascii="Tahoma" w:hAnsi="Tahoma" w:cs="Tahoma"/>
                <w:color w:val="000000" w:themeColor="text1"/>
                <w:sz w:val="18"/>
                <w:szCs w:val="18"/>
              </w:rPr>
              <w:t>b</w:t>
            </w:r>
            <w:r w:rsidR="007066B2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ranch </w:t>
            </w:r>
            <w:r w:rsidR="008D6BC7">
              <w:rPr>
                <w:rFonts w:ascii="Tahoma" w:hAnsi="Tahoma" w:cs="Tahoma"/>
                <w:color w:val="000000" w:themeColor="text1"/>
                <w:sz w:val="18"/>
                <w:szCs w:val="18"/>
              </w:rPr>
              <w:t>register</w:t>
            </w:r>
            <w:r w:rsidR="009943E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and deposit into</w:t>
            </w:r>
            <w:r w:rsidR="0032735E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the holder’s account within</w:t>
            </w:r>
            <w:r w:rsidR="009943E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CDP</w:t>
            </w:r>
            <w:r w:rsidR="008D6BC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is expected to take</w:t>
            </w:r>
            <w:r w:rsidR="007066B2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at least</w:t>
            </w:r>
            <w:r w:rsidR="008D6BC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F05EEE">
              <w:rPr>
                <w:rFonts w:ascii="Tahoma" w:hAnsi="Tahoma" w:cs="Tahoma"/>
                <w:color w:val="000000" w:themeColor="text1"/>
                <w:sz w:val="18"/>
                <w:szCs w:val="18"/>
              </w:rPr>
              <w:t>three (3)</w:t>
            </w:r>
            <w:r w:rsidR="008D6BC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business days</w:t>
            </w:r>
            <w:r w:rsidR="007066B2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to be completed</w:t>
            </w:r>
            <w:r w:rsidR="008D6BC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. </w:t>
            </w:r>
          </w:p>
        </w:tc>
      </w:tr>
    </w:tbl>
    <w:p w14:paraId="5EE6A8EB" w14:textId="77777777" w:rsidR="00E7177A" w:rsidRPr="00A92745" w:rsidRDefault="00E7177A" w:rsidP="002872F0">
      <w:pPr>
        <w:rPr>
          <w:rFonts w:ascii="Tahoma" w:hAnsi="Tahoma" w:cs="Tahoma"/>
          <w:sz w:val="20"/>
          <w:szCs w:val="20"/>
        </w:rPr>
      </w:pPr>
    </w:p>
    <w:sectPr w:rsidR="00E7177A" w:rsidRPr="00A92745" w:rsidSect="00A60539">
      <w:pgSz w:w="16838" w:h="11906" w:orient="landscape"/>
      <w:pgMar w:top="624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FD7DA" w14:textId="77777777" w:rsidR="00536D20" w:rsidRDefault="00536D20" w:rsidP="00E7177A">
      <w:pPr>
        <w:spacing w:after="0" w:line="240" w:lineRule="auto"/>
      </w:pPr>
      <w:r>
        <w:separator/>
      </w:r>
    </w:p>
  </w:endnote>
  <w:endnote w:type="continuationSeparator" w:id="0">
    <w:p w14:paraId="04111E58" w14:textId="77777777" w:rsidR="00536D20" w:rsidRDefault="00536D20" w:rsidP="00E71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552AC" w14:textId="77777777" w:rsidR="00536D20" w:rsidRDefault="00536D20" w:rsidP="00E7177A">
      <w:pPr>
        <w:spacing w:after="0" w:line="240" w:lineRule="auto"/>
      </w:pPr>
      <w:r>
        <w:separator/>
      </w:r>
    </w:p>
  </w:footnote>
  <w:footnote w:type="continuationSeparator" w:id="0">
    <w:p w14:paraId="02F47939" w14:textId="77777777" w:rsidR="00536D20" w:rsidRDefault="00536D20" w:rsidP="00E71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05969"/>
    <w:multiLevelType w:val="hybridMultilevel"/>
    <w:tmpl w:val="EB7A4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5410E"/>
    <w:multiLevelType w:val="hybridMultilevel"/>
    <w:tmpl w:val="D6EE199C"/>
    <w:lvl w:ilvl="0" w:tplc="BFD28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F89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C0D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7AE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D4C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6E3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C66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03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66D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7E140F5"/>
    <w:multiLevelType w:val="hybridMultilevel"/>
    <w:tmpl w:val="5380EE3E"/>
    <w:lvl w:ilvl="0" w:tplc="6A2CA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1834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641D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C02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E6B2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644E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64C8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F2B2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5C10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621306"/>
    <w:multiLevelType w:val="hybridMultilevel"/>
    <w:tmpl w:val="E6D29456"/>
    <w:lvl w:ilvl="0" w:tplc="8452D5A8">
      <w:numFmt w:val="bullet"/>
      <w:lvlText w:val="›"/>
      <w:lvlJc w:val="left"/>
      <w:pPr>
        <w:ind w:left="720" w:hanging="360"/>
      </w:pPr>
      <w:rPr>
        <w:rFonts w:ascii="Tahoma" w:hAnsi="Tahoma" w:hint="default"/>
        <w:color w:val="40404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A7D16"/>
    <w:multiLevelType w:val="hybridMultilevel"/>
    <w:tmpl w:val="EB7A41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276274">
    <w:abstractNumId w:val="2"/>
  </w:num>
  <w:num w:numId="2" w16cid:durableId="1033922678">
    <w:abstractNumId w:val="3"/>
  </w:num>
  <w:num w:numId="3" w16cid:durableId="146216705">
    <w:abstractNumId w:val="1"/>
  </w:num>
  <w:num w:numId="4" w16cid:durableId="301888099">
    <w:abstractNumId w:val="0"/>
  </w:num>
  <w:num w:numId="5" w16cid:durableId="12040994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FA3"/>
    <w:rsid w:val="000162D7"/>
    <w:rsid w:val="00045230"/>
    <w:rsid w:val="00055898"/>
    <w:rsid w:val="00073F97"/>
    <w:rsid w:val="00080106"/>
    <w:rsid w:val="000B6540"/>
    <w:rsid w:val="000D0601"/>
    <w:rsid w:val="000E3D25"/>
    <w:rsid w:val="001016B9"/>
    <w:rsid w:val="001167EE"/>
    <w:rsid w:val="00117A30"/>
    <w:rsid w:val="001631A3"/>
    <w:rsid w:val="001667AD"/>
    <w:rsid w:val="001A2711"/>
    <w:rsid w:val="001B42A6"/>
    <w:rsid w:val="001C4DC4"/>
    <w:rsid w:val="001E1395"/>
    <w:rsid w:val="001F35C1"/>
    <w:rsid w:val="00205094"/>
    <w:rsid w:val="00246DF1"/>
    <w:rsid w:val="00271AC6"/>
    <w:rsid w:val="00272834"/>
    <w:rsid w:val="002872F0"/>
    <w:rsid w:val="00294317"/>
    <w:rsid w:val="00295EBE"/>
    <w:rsid w:val="002B5440"/>
    <w:rsid w:val="002E63C2"/>
    <w:rsid w:val="0031554B"/>
    <w:rsid w:val="0032735E"/>
    <w:rsid w:val="00362589"/>
    <w:rsid w:val="0036340F"/>
    <w:rsid w:val="003779C1"/>
    <w:rsid w:val="003B5DE1"/>
    <w:rsid w:val="003C3281"/>
    <w:rsid w:val="00401E9A"/>
    <w:rsid w:val="00406F65"/>
    <w:rsid w:val="0042721B"/>
    <w:rsid w:val="00433230"/>
    <w:rsid w:val="00491D13"/>
    <w:rsid w:val="00493BE8"/>
    <w:rsid w:val="004A750B"/>
    <w:rsid w:val="004D28D2"/>
    <w:rsid w:val="004E1E3E"/>
    <w:rsid w:val="00510FBE"/>
    <w:rsid w:val="005261E6"/>
    <w:rsid w:val="00533778"/>
    <w:rsid w:val="00536D20"/>
    <w:rsid w:val="00592D5B"/>
    <w:rsid w:val="00594052"/>
    <w:rsid w:val="005B70EE"/>
    <w:rsid w:val="005F0C46"/>
    <w:rsid w:val="005F7CE4"/>
    <w:rsid w:val="005F7F51"/>
    <w:rsid w:val="006036FE"/>
    <w:rsid w:val="006379D2"/>
    <w:rsid w:val="00660B23"/>
    <w:rsid w:val="006918C9"/>
    <w:rsid w:val="006A10CE"/>
    <w:rsid w:val="006C70BF"/>
    <w:rsid w:val="007003BA"/>
    <w:rsid w:val="007066B2"/>
    <w:rsid w:val="007217AD"/>
    <w:rsid w:val="00726DF6"/>
    <w:rsid w:val="007278C4"/>
    <w:rsid w:val="007431A3"/>
    <w:rsid w:val="007854BB"/>
    <w:rsid w:val="007E2C06"/>
    <w:rsid w:val="007F7BDC"/>
    <w:rsid w:val="008060A9"/>
    <w:rsid w:val="008365B2"/>
    <w:rsid w:val="00860993"/>
    <w:rsid w:val="00862B9C"/>
    <w:rsid w:val="00882764"/>
    <w:rsid w:val="008D6BC7"/>
    <w:rsid w:val="008D7FA3"/>
    <w:rsid w:val="008F42C3"/>
    <w:rsid w:val="00903D81"/>
    <w:rsid w:val="00975982"/>
    <w:rsid w:val="00986E98"/>
    <w:rsid w:val="009943E0"/>
    <w:rsid w:val="009A19D4"/>
    <w:rsid w:val="009D1EDB"/>
    <w:rsid w:val="009E4335"/>
    <w:rsid w:val="00A57C9F"/>
    <w:rsid w:val="00A60539"/>
    <w:rsid w:val="00A657D5"/>
    <w:rsid w:val="00A70F8B"/>
    <w:rsid w:val="00A811B2"/>
    <w:rsid w:val="00A8588E"/>
    <w:rsid w:val="00A92745"/>
    <w:rsid w:val="00AB18E1"/>
    <w:rsid w:val="00AB7D42"/>
    <w:rsid w:val="00B05C83"/>
    <w:rsid w:val="00B353D7"/>
    <w:rsid w:val="00B45668"/>
    <w:rsid w:val="00B47966"/>
    <w:rsid w:val="00B505F6"/>
    <w:rsid w:val="00B67C74"/>
    <w:rsid w:val="00B70BAF"/>
    <w:rsid w:val="00B73BD9"/>
    <w:rsid w:val="00B92F4B"/>
    <w:rsid w:val="00BC5E64"/>
    <w:rsid w:val="00C019A2"/>
    <w:rsid w:val="00C1310F"/>
    <w:rsid w:val="00C15BD2"/>
    <w:rsid w:val="00C24D88"/>
    <w:rsid w:val="00C31FF2"/>
    <w:rsid w:val="00C34A98"/>
    <w:rsid w:val="00C34E71"/>
    <w:rsid w:val="00C52E7A"/>
    <w:rsid w:val="00C61D70"/>
    <w:rsid w:val="00C66A7F"/>
    <w:rsid w:val="00C77AB1"/>
    <w:rsid w:val="00C839BC"/>
    <w:rsid w:val="00C867D0"/>
    <w:rsid w:val="00CC54E9"/>
    <w:rsid w:val="00D20631"/>
    <w:rsid w:val="00D24FA3"/>
    <w:rsid w:val="00D642B9"/>
    <w:rsid w:val="00D90BC7"/>
    <w:rsid w:val="00DA5923"/>
    <w:rsid w:val="00DB17F4"/>
    <w:rsid w:val="00DC209A"/>
    <w:rsid w:val="00DC344F"/>
    <w:rsid w:val="00DD621F"/>
    <w:rsid w:val="00DE40ED"/>
    <w:rsid w:val="00E02E04"/>
    <w:rsid w:val="00E07955"/>
    <w:rsid w:val="00E17D4F"/>
    <w:rsid w:val="00E7177A"/>
    <w:rsid w:val="00EB23D4"/>
    <w:rsid w:val="00EC1614"/>
    <w:rsid w:val="00F05EEE"/>
    <w:rsid w:val="00F2560C"/>
    <w:rsid w:val="00F61C53"/>
    <w:rsid w:val="00F80085"/>
    <w:rsid w:val="00FC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6A8AB"/>
  <w15:docId w15:val="{4AE0BE5A-0BFD-4E0A-9FF3-522DCDD5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Car"/>
    <w:basedOn w:val="Normal"/>
    <w:link w:val="FootnoteTextChar"/>
    <w:uiPriority w:val="99"/>
    <w:qFormat/>
    <w:rsid w:val="00E7177A"/>
    <w:pPr>
      <w:spacing w:after="60" w:line="240" w:lineRule="auto"/>
      <w:ind w:left="284" w:hanging="284"/>
    </w:pPr>
    <w:rPr>
      <w:rFonts w:ascii="Arial" w:eastAsia="Times New Roman" w:hAnsi="Arial" w:cs="Times New Roman"/>
      <w:sz w:val="18"/>
      <w:szCs w:val="20"/>
    </w:rPr>
  </w:style>
  <w:style w:type="character" w:customStyle="1" w:styleId="FootnoteTextChar">
    <w:name w:val="Footnote Text Char"/>
    <w:aliases w:val="Car Char"/>
    <w:basedOn w:val="DefaultParagraphFont"/>
    <w:link w:val="FootnoteText"/>
    <w:uiPriority w:val="99"/>
    <w:rsid w:val="00E7177A"/>
    <w:rPr>
      <w:rFonts w:ascii="Arial" w:eastAsia="Times New Roman" w:hAnsi="Arial" w:cs="Times New Roman"/>
      <w:sz w:val="18"/>
      <w:szCs w:val="20"/>
    </w:rPr>
  </w:style>
  <w:style w:type="character" w:styleId="FootnoteReference">
    <w:name w:val="footnote reference"/>
    <w:aliases w:val="fr"/>
    <w:basedOn w:val="DefaultParagraphFont"/>
    <w:rsid w:val="00E7177A"/>
    <w:rPr>
      <w:vertAlign w:val="superscript"/>
    </w:rPr>
  </w:style>
  <w:style w:type="paragraph" w:styleId="ListParagraph">
    <w:name w:val="List Paragraph"/>
    <w:aliases w:val="ANNEXE"/>
    <w:basedOn w:val="Normal"/>
    <w:link w:val="ListParagraphChar"/>
    <w:uiPriority w:val="34"/>
    <w:qFormat/>
    <w:rsid w:val="00E7177A"/>
    <w:pPr>
      <w:spacing w:after="0" w:line="240" w:lineRule="auto"/>
      <w:ind w:left="720"/>
    </w:pPr>
    <w:rPr>
      <w:rFonts w:ascii="Arial" w:eastAsia="Times New Roman" w:hAnsi="Arial" w:cs="Times New Roman"/>
      <w:sz w:val="18"/>
      <w:szCs w:val="20"/>
      <w:lang w:eastAsia="en-AU"/>
    </w:rPr>
  </w:style>
  <w:style w:type="character" w:customStyle="1" w:styleId="ListParagraphChar">
    <w:name w:val="List Paragraph Char"/>
    <w:aliases w:val="ANNEXE Char"/>
    <w:link w:val="ListParagraph"/>
    <w:uiPriority w:val="34"/>
    <w:locked/>
    <w:rsid w:val="00E7177A"/>
    <w:rPr>
      <w:rFonts w:ascii="Arial" w:eastAsia="Times New Roman" w:hAnsi="Arial" w:cs="Times New Roman"/>
      <w:sz w:val="18"/>
      <w:szCs w:val="20"/>
      <w:lang w:eastAsia="en-AU"/>
    </w:rPr>
  </w:style>
  <w:style w:type="paragraph" w:styleId="BodyText">
    <w:name w:val="Body Text"/>
    <w:basedOn w:val="Normal"/>
    <w:link w:val="BodyTextChar"/>
    <w:rsid w:val="00E7177A"/>
    <w:pPr>
      <w:spacing w:after="240" w:line="240" w:lineRule="auto"/>
    </w:pPr>
    <w:rPr>
      <w:rFonts w:ascii="Arial" w:eastAsia="Times New Roman" w:hAnsi="Arial" w:cs="Times New Roman"/>
      <w:sz w:val="18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E7177A"/>
    <w:rPr>
      <w:rFonts w:ascii="Arial" w:eastAsia="Times New Roman" w:hAnsi="Arial" w:cs="Times New Roman"/>
      <w:sz w:val="18"/>
      <w:szCs w:val="20"/>
      <w:lang w:eastAsia="en-AU"/>
    </w:rPr>
  </w:style>
  <w:style w:type="paragraph" w:customStyle="1" w:styleId="NormalDeed">
    <w:name w:val="Normal Deed"/>
    <w:basedOn w:val="Normal"/>
    <w:rsid w:val="00E7177A"/>
    <w:pPr>
      <w:spacing w:after="240" w:line="240" w:lineRule="auto"/>
    </w:pPr>
    <w:rPr>
      <w:rFonts w:ascii="Arial" w:eastAsia="SimSu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C70B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0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927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E13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13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13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3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39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E63C2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62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36F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0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09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821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055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997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35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125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s.corporateactions@sg.tricorglobal.com" TargetMode="External"/><Relationship Id="rId18" Type="http://schemas.openxmlformats.org/officeDocument/2006/relationships/hyperlink" Target="mailto:is.corporateactions@sg.tricorgloba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ivmec.dev.eggdesign.com.au/wp-content/uploads/2024/08/Form-A-Register-Removal-request-SGD-to-AUS-12082024.pdf" TargetMode="External"/><Relationship Id="rId17" Type="http://schemas.openxmlformats.org/officeDocument/2006/relationships/hyperlink" Target="mailto:au.globaltransactions@computershar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u.globaltransactions@computershare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gx.com/securities/retail-investor/manage-my-accou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ivmec.dev.eggdesign.com.au/wp-content/uploads/2024/08/Form-B-Register-Removal-request-form-AUS-to-SGD-12082024.pdf" TargetMode="External"/><Relationship Id="rId10" Type="http://schemas.openxmlformats.org/officeDocument/2006/relationships/hyperlink" Target="https://api2.sgx.com/sites/default/files/2024-01/Transfer%20Deed%20for%20Scrip%20Withdrawal%2008012024.pdf?destination=/media/9963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pi2.sgx.com/sites/default/files/2024-01/10.%20Request%20for%20Withdrawal%20of%20Securities%2005012024.pdf" TargetMode="External"/><Relationship Id="rId14" Type="http://schemas.openxmlformats.org/officeDocument/2006/relationships/hyperlink" Target="mailto:is.corporateactions@sg.tricorglob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49E49-74FD-4833-986F-67A73983EF9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f1b6f0c-3a11-45de-a302-7fe97b0d9a64}" enabled="0" method="" siteId="{3f1b6f0c-3a11-45de-a302-7fe97b0d9a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Computershare Technology Services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Palmer</dc:creator>
  <cp:lastModifiedBy>Kevin Deery</cp:lastModifiedBy>
  <cp:revision>2</cp:revision>
  <cp:lastPrinted>2024-02-21T05:43:00Z</cp:lastPrinted>
  <dcterms:created xsi:type="dcterms:W3CDTF">2024-08-14T03:50:00Z</dcterms:created>
  <dcterms:modified xsi:type="dcterms:W3CDTF">2024-08-14T03:50:00Z</dcterms:modified>
</cp:coreProperties>
</file>