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4D82" w14:textId="1F4E2163" w:rsidR="003A584B" w:rsidRDefault="00D635DF" w:rsidP="00983BE8">
      <w:pPr>
        <w:spacing w:before="120" w:after="40"/>
        <w:ind w:left="-284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Civmec Limited</w:t>
      </w:r>
      <w:r w:rsidR="0073360D" w:rsidRPr="004B5B3B">
        <w:rPr>
          <w:rFonts w:ascii="Tahoma" w:hAnsi="Tahoma" w:cs="Tahoma"/>
          <w:b/>
          <w:sz w:val="24"/>
          <w:szCs w:val="24"/>
        </w:rPr>
        <w:t xml:space="preserve"> (Australian incorporated)</w:t>
      </w:r>
      <w:r w:rsidR="00A52EEF" w:rsidRPr="004B5B3B">
        <w:rPr>
          <w:rFonts w:ascii="Tahoma" w:hAnsi="Tahoma" w:cs="Tahoma"/>
          <w:b/>
          <w:sz w:val="24"/>
          <w:szCs w:val="24"/>
        </w:rPr>
        <w:t xml:space="preserve"> – Register Removal process </w:t>
      </w:r>
      <w:r w:rsidR="006B1E14">
        <w:rPr>
          <w:rFonts w:ascii="Tahoma" w:hAnsi="Tahoma" w:cs="Tahoma"/>
          <w:b/>
          <w:color w:val="000000" w:themeColor="text1"/>
          <w:sz w:val="24"/>
          <w:szCs w:val="24"/>
        </w:rPr>
        <w:t>12082024</w:t>
      </w:r>
    </w:p>
    <w:p w14:paraId="3F8F706F" w14:textId="77777777" w:rsidR="004B5B3B" w:rsidRPr="004B5B3B" w:rsidRDefault="004B5B3B" w:rsidP="0073360D">
      <w:pPr>
        <w:spacing w:before="120" w:after="40"/>
        <w:ind w:left="-426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59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6"/>
        <w:gridCol w:w="5128"/>
        <w:gridCol w:w="146"/>
        <w:gridCol w:w="1130"/>
        <w:gridCol w:w="146"/>
        <w:gridCol w:w="3967"/>
        <w:gridCol w:w="1418"/>
      </w:tblGrid>
      <w:tr w:rsidR="00A52EEF" w:rsidRPr="00345A31" w14:paraId="75463305" w14:textId="77777777" w:rsidTr="00983BE8">
        <w:tc>
          <w:tcPr>
            <w:tcW w:w="15901" w:type="dxa"/>
            <w:gridSpan w:val="7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222020D" w14:textId="48A08DD1" w:rsidR="00A52EEF" w:rsidRPr="00747287" w:rsidRDefault="00A52EEF" w:rsidP="0074728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b/>
                <w:color w:val="000000" w:themeColor="text1"/>
              </w:rPr>
            </w:pPr>
            <w:r w:rsidRPr="00747287">
              <w:rPr>
                <w:rFonts w:ascii="Tahoma" w:hAnsi="Tahoma" w:cs="Tahoma"/>
                <w:b/>
                <w:color w:val="000000" w:themeColor="text1"/>
              </w:rPr>
              <w:t xml:space="preserve">Singapore to Australia: 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</w:rPr>
              <w:t xml:space="preserve">Shares located in a </w:t>
            </w:r>
            <w:r w:rsidRPr="00747287">
              <w:rPr>
                <w:rFonts w:ascii="Tahoma" w:hAnsi="Tahoma" w:cs="Tahoma"/>
                <w:bCs/>
                <w:color w:val="000000" w:themeColor="text1"/>
              </w:rPr>
              <w:t xml:space="preserve">CDP </w:t>
            </w:r>
            <w:r w:rsidR="000570FE">
              <w:rPr>
                <w:rFonts w:ascii="Tahoma" w:hAnsi="Tahoma" w:cs="Tahoma"/>
                <w:bCs/>
                <w:color w:val="000000" w:themeColor="text1"/>
              </w:rPr>
              <w:t xml:space="preserve">Direct </w:t>
            </w:r>
            <w:r w:rsidRPr="00747287">
              <w:rPr>
                <w:rFonts w:ascii="Tahoma" w:hAnsi="Tahoma" w:cs="Tahoma"/>
                <w:bCs/>
                <w:color w:val="000000" w:themeColor="text1"/>
              </w:rPr>
              <w:t xml:space="preserve">Account </w:t>
            </w:r>
            <w:r w:rsidRPr="00747287">
              <w:rPr>
                <w:rFonts w:ascii="Tahoma" w:hAnsi="Tahoma" w:cs="Tahoma"/>
                <w:bCs/>
                <w:color w:val="000000" w:themeColor="text1"/>
                <w:lang w:val="en-GB"/>
              </w:rPr>
              <w:t>or Sub-account maintained with a CDP Depository Agent (DA)</w:t>
            </w:r>
          </w:p>
        </w:tc>
      </w:tr>
      <w:tr w:rsidR="00A52EEF" w:rsidRPr="00345A31" w14:paraId="4BA94D8E" w14:textId="77777777" w:rsidTr="005D719E">
        <w:tc>
          <w:tcPr>
            <w:tcW w:w="39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A94D88" w14:textId="4765ED77" w:rsidR="00A52EEF" w:rsidRPr="004B5B3B" w:rsidRDefault="00A52EEF" w:rsidP="007304D4">
            <w:pPr>
              <w:spacing w:before="120" w:after="12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Form</w:t>
            </w:r>
            <w:r w:rsidR="0096662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</w:t>
            </w: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  <w:r w:rsidR="0096662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28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A94D89" w14:textId="00FB4C8E" w:rsidR="00A52EEF" w:rsidRPr="004B5B3B" w:rsidRDefault="00A52EEF" w:rsidP="007304D4">
            <w:pPr>
              <w:spacing w:before="120" w:after="12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Delivery instructions /Fees (including GST)</w:t>
            </w: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116653" w14:textId="69D04F90" w:rsidR="00A52EEF" w:rsidRPr="004B5B3B" w:rsidRDefault="00A52EEF" w:rsidP="004B5B3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Register</w:t>
            </w:r>
          </w:p>
        </w:tc>
        <w:tc>
          <w:tcPr>
            <w:tcW w:w="4113" w:type="dxa"/>
            <w:gridSpan w:val="2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A94D8A" w14:textId="0880322C" w:rsidR="00A52EEF" w:rsidRPr="004B5B3B" w:rsidRDefault="00A52EEF" w:rsidP="004B5B3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BA94D8B" w14:textId="77777777" w:rsidR="00A52EEF" w:rsidRPr="004B5B3B" w:rsidRDefault="00A52EEF" w:rsidP="004B5B3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Process timing</w:t>
            </w:r>
          </w:p>
        </w:tc>
      </w:tr>
      <w:tr w:rsidR="00A52EEF" w:rsidRPr="00345A31" w14:paraId="4BA94D9C" w14:textId="77777777" w:rsidTr="005D719E">
        <w:tc>
          <w:tcPr>
            <w:tcW w:w="39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D1C9563" w14:textId="06F8A34B" w:rsidR="00150999" w:rsidRDefault="00A52EEF" w:rsidP="002B6FFF">
            <w:pPr>
              <w:pStyle w:val="NormalDeed"/>
              <w:spacing w:before="120" w:after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CDP </w:t>
            </w:r>
            <w:r w:rsidR="00BB4D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direct account</w:t>
            </w: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holder</w:t>
            </w:r>
            <w:r w:rsidR="00BB4D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or DA</w:t>
            </w: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complete</w:t>
            </w:r>
            <w:r w:rsidR="0015099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</w:t>
            </w:r>
            <w:r w:rsidR="00F5229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and submits</w:t>
            </w:r>
            <w:r w:rsidR="00E1367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the following</w:t>
            </w:r>
            <w:r w:rsidR="0015099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:</w:t>
            </w:r>
          </w:p>
          <w:p w14:paraId="2E7D6203" w14:textId="317898BE" w:rsidR="00965C5B" w:rsidRDefault="00A52EEF" w:rsidP="00747287">
            <w:pPr>
              <w:pStyle w:val="NormalDeed"/>
              <w:numPr>
                <w:ilvl w:val="0"/>
                <w:numId w:val="15"/>
              </w:numPr>
              <w:spacing w:before="120" w:after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CDP </w:t>
            </w:r>
            <w:r w:rsidRP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Request for Withdrawal of Securities form</w:t>
            </w:r>
            <w:r w:rsidR="004F16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(handled as scrip withdrawal)</w:t>
            </w:r>
            <w:r w:rsidRP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6474EF68" w14:textId="0DFC54BB" w:rsidR="00CF7EF4" w:rsidRDefault="00CF7EF4" w:rsidP="00747287">
            <w:pPr>
              <w:pStyle w:val="NormalDeed"/>
              <w:spacing w:before="120" w:after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EF4">
              <w:rPr>
                <w:rFonts w:ascii="Tahoma" w:hAnsi="Tahoma" w:cs="Tahoma"/>
                <w:color w:val="000000" w:themeColor="text1"/>
                <w:sz w:val="18"/>
                <w:szCs w:val="18"/>
              </w:rPr>
              <w:t>https://api2.sgx.com/sites/default/files/2024-01/10.%20Request%20for%20Withdrawal%20of%20Securities%2005012024.pdf</w:t>
            </w:r>
          </w:p>
          <w:p w14:paraId="7BE2ADB0" w14:textId="16A0B646" w:rsidR="00A52EEF" w:rsidRPr="00A52EEF" w:rsidRDefault="00A52EEF" w:rsidP="00A52EEF">
            <w:pPr>
              <w:pStyle w:val="NormalDeed"/>
              <w:spacing w:before="120" w:after="0"/>
              <w:ind w:left="324" w:hanging="32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>and</w:t>
            </w:r>
            <w:r w:rsidRPr="004B5B3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14E824D" w14:textId="20A824EE" w:rsidR="00CC6423" w:rsidRPr="00747287" w:rsidRDefault="00A52EEF" w:rsidP="00747287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 Transfer</w:t>
            </w:r>
            <w:r w:rsidR="00C50CF7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Deed</w:t>
            </w:r>
            <w:r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675FF0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(</w:t>
            </w:r>
            <w:r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seller is the CDP and the CDP account holder is the buyer/transferee</w:t>
            </w:r>
            <w:r w:rsidR="00675FF0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  <w:p w14:paraId="282BDC26" w14:textId="46474184" w:rsidR="00C652E1" w:rsidRDefault="00C652E1" w:rsidP="00747287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hyperlink r:id="rId8" w:history="1">
              <w:r w:rsidRPr="005E462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https://api2.sgx.com/sites/default/files/2024-01/Transfer%20Deed%20for%20Scrip%20Withdrawal%2008012024.pdf?destination=/media/99639</w:t>
              </w:r>
            </w:hyperlink>
          </w:p>
          <w:p w14:paraId="4BA94D92" w14:textId="66FBDB48" w:rsidR="00A52EEF" w:rsidRDefault="00A52EEF" w:rsidP="00292F80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 stamp duty assessment</w:t>
            </w:r>
            <w:r w:rsidR="00292F8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is required</w:t>
            </w: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92F8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as there should </w:t>
            </w:r>
            <w:proofErr w:type="gramStart"/>
            <w:r w:rsidR="00292F8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be </w:t>
            </w: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no</w:t>
            </w:r>
            <w:proofErr w:type="gramEnd"/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change of beneficial ownership</w:t>
            </w:r>
            <w:r w:rsidR="00292F8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during the register removal process</w:t>
            </w: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51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FD2369D" w14:textId="549D7A04" w:rsidR="00A52EEF" w:rsidRDefault="00A52EEF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Original </w:t>
            </w:r>
            <w:r w:rsidR="00040B3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wet-ink signed </w:t>
            </w:r>
            <w:r w:rsidR="0021011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Request for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Withdrawal 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of Securities </w:t>
            </w:r>
            <w:r w:rsid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orm </w:t>
            </w:r>
            <w:r w:rsidRPr="0073360D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and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Singapore Transfer </w:t>
            </w:r>
            <w:r w:rsidR="00762F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Deed</w:t>
            </w:r>
            <w:r w:rsid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07748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shall be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delivered to CDP a) </w:t>
            </w:r>
            <w:r w:rsidR="0007748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by CDP account holders </w:t>
            </w:r>
            <w:r w:rsidR="00EC119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via drop box or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by mail</w:t>
            </w:r>
            <w:r w:rsidR="00EC119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B23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</w:t>
            </w:r>
            <w:r w:rsidR="00EC119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B23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SingPost </w:t>
            </w:r>
            <w:r w:rsidR="00EC119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 Box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or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b) </w:t>
            </w:r>
            <w:r w:rsidR="0007748D">
              <w:rPr>
                <w:rFonts w:ascii="Tahoma" w:hAnsi="Tahoma" w:cs="Tahoma"/>
                <w:color w:val="000000" w:themeColor="text1"/>
                <w:sz w:val="18"/>
                <w:szCs w:val="18"/>
              </w:rPr>
              <w:t>by CDP sub-account holders via their DAs</w:t>
            </w:r>
            <w:r w:rsidR="00F14286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B8C57D1" w14:textId="7026DFF2" w:rsidR="00D72234" w:rsidRDefault="00D72234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E6A38CF" w14:textId="4FDEE9D7" w:rsidR="00D72234" w:rsidRDefault="00D72234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 withdrawal fees payable:</w:t>
            </w:r>
          </w:p>
          <w:p w14:paraId="35BDC016" w14:textId="42B63686" w:rsidR="00D72234" w:rsidRDefault="00D72234" w:rsidP="00747287">
            <w:pPr>
              <w:pStyle w:val="ListParagraph"/>
              <w:numPr>
                <w:ilvl w:val="0"/>
                <w:numId w:val="13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S$10.90 (inclusive of GST) per request for securities quantity 1,000 or less</w:t>
            </w:r>
          </w:p>
          <w:p w14:paraId="63568D0B" w14:textId="2F89D1FE" w:rsidR="00D72234" w:rsidRDefault="00D72234" w:rsidP="00747287">
            <w:pPr>
              <w:pStyle w:val="ListParagraph"/>
              <w:numPr>
                <w:ilvl w:val="0"/>
                <w:numId w:val="13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S$27.25 (inclusive of GST) per request for securities quantity more than 1,000</w:t>
            </w:r>
          </w:p>
          <w:p w14:paraId="5549C2BB" w14:textId="412CC2F4" w:rsidR="00CA1366" w:rsidRPr="00B3484F" w:rsidRDefault="00CA1366" w:rsidP="00747287">
            <w:pPr>
              <w:pStyle w:val="ListParagraph"/>
              <w:numPr>
                <w:ilvl w:val="0"/>
                <w:numId w:val="13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348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S$2.18 (inclusive of GST) registration fee per certificate</w:t>
            </w:r>
            <w:r w:rsidR="001423C4" w:rsidRPr="00B348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/confirmation note</w:t>
            </w:r>
            <w:r w:rsidRPr="00B348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7BBFFDD7" w14:textId="0A74BDD9" w:rsidR="006C0758" w:rsidRDefault="00776703" w:rsidP="00747287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Note: </w:t>
            </w:r>
            <w:r w:rsidR="00C145C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 </w:t>
            </w:r>
            <w:r w:rsidR="001A1FE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 sub-account holders with DAs</w:t>
            </w:r>
            <w:r w:rsidR="00C145C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CDP </w:t>
            </w:r>
            <w:r w:rsidR="00FB2C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auto </w:t>
            </w:r>
            <w:r w:rsidR="001A1FE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bills DAs</w:t>
            </w:r>
            <w:r w:rsidR="00C145C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monthly. </w:t>
            </w:r>
            <w:r w:rsidR="001A1FE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 direct account holders</w:t>
            </w:r>
            <w:r w:rsidR="00C145C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will pay CDP via TT</w:t>
            </w:r>
            <w:r w:rsidR="000C4D9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attach a copy of remittance advice as </w:t>
            </w:r>
            <w:r w:rsidR="001A1FE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evidence of payment</w:t>
            </w:r>
            <w:r w:rsidR="00B243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0C4D9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4BA94D93" w14:textId="4306AAB8" w:rsidR="00C145CD" w:rsidRDefault="007E366E" w:rsidP="00747287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CDP’s bank a</w:t>
            </w:r>
            <w:r w:rsidR="006C075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ccount details:</w:t>
            </w:r>
            <w:r w:rsidR="00183ABC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="006C0758" w:rsidRPr="006C075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https://www.sgx.com/securities/retail-investor/manage-my-account</w:t>
            </w: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CB09D70" w14:textId="0399EEB8" w:rsidR="00A52EEF" w:rsidRDefault="00A52EEF" w:rsidP="00A52EEF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</w:t>
            </w:r>
          </w:p>
        </w:tc>
        <w:tc>
          <w:tcPr>
            <w:tcW w:w="411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D290D57" w14:textId="77777777" w:rsidR="00965C5B" w:rsidRDefault="00A52EEF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234B513C" w14:textId="45D4E077" w:rsidR="00A52EEF" w:rsidRDefault="00965C5B" w:rsidP="00747287">
            <w:pPr>
              <w:pStyle w:val="ListParagraph"/>
              <w:numPr>
                <w:ilvl w:val="0"/>
                <w:numId w:val="1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alidate </w:t>
            </w:r>
            <w:r w:rsidR="00B92A7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withdrawal request</w:t>
            </w:r>
            <w:r w:rsidR="00F25A8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F1438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form </w:t>
            </w:r>
            <w:r w:rsidR="00F25A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received e.g. signature, sufficient shares</w:t>
            </w:r>
            <w:r w:rsidR="00F1438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held in “Free” balance of </w:t>
            </w:r>
            <w:r w:rsidR="00F846E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direct </w:t>
            </w:r>
            <w:r w:rsidR="00F1438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account</w:t>
            </w:r>
            <w:r w:rsidR="00F846E6">
              <w:rPr>
                <w:rFonts w:ascii="Tahoma" w:hAnsi="Tahoma" w:cs="Tahoma"/>
                <w:color w:val="000000" w:themeColor="text1"/>
                <w:sz w:val="18"/>
                <w:szCs w:val="18"/>
              </w:rPr>
              <w:t>/ DA sub-account</w:t>
            </w:r>
            <w:r w:rsidR="00F25A8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etc</w:t>
            </w:r>
            <w:r w:rsidR="00F14286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1A487C1F" w14:textId="79CDF7A6" w:rsidR="00814984" w:rsidRDefault="00814984" w:rsidP="00747287">
            <w:pPr>
              <w:pStyle w:val="ListParagraph"/>
              <w:numPr>
                <w:ilvl w:val="0"/>
                <w:numId w:val="1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On lodgement date, debit shares from </w:t>
            </w:r>
            <w:r w:rsidR="004100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direct account/ DA sub-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account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4E216ECB" w14:textId="7CFB9393" w:rsidR="00E75CD1" w:rsidRDefault="00F25A82" w:rsidP="00747287">
            <w:pPr>
              <w:pStyle w:val="ListParagraph"/>
              <w:numPr>
                <w:ilvl w:val="0"/>
                <w:numId w:val="1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On lodgement date, </w:t>
            </w:r>
            <w:r w:rsidR="00E75CD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deliver </w:t>
            </w:r>
            <w:r w:rsidR="00072D3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(a) </w:t>
            </w:r>
            <w:r w:rsidR="00A96C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CDP </w:t>
            </w:r>
            <w:r w:rsidR="00E75CD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lodgement letter, and </w:t>
            </w:r>
            <w:r w:rsidR="00072D33">
              <w:rPr>
                <w:rFonts w:ascii="Tahoma" w:hAnsi="Tahoma" w:cs="Tahoma"/>
                <w:color w:val="000000" w:themeColor="text1"/>
                <w:sz w:val="18"/>
                <w:szCs w:val="18"/>
              </w:rPr>
              <w:t>(</w:t>
            </w:r>
            <w:r w:rsidR="00F67AB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072D3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 </w:t>
            </w:r>
            <w:r w:rsidR="00814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 Transfer Deed to</w:t>
            </w:r>
            <w:r w:rsidR="00E75CD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Tricor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E75CD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via daily courier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E75CD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4BA94D94" w14:textId="31157196" w:rsidR="00FC7CF8" w:rsidRPr="00747287" w:rsidRDefault="00FC7CF8" w:rsidP="00620440">
            <w:pPr>
              <w:pStyle w:val="ListParagraph"/>
              <w:numPr>
                <w:ilvl w:val="0"/>
                <w:numId w:val="1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Upon receipt of </w:t>
            </w:r>
            <w:r w:rsidR="00E7148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statement of holdings</w:t>
            </w:r>
            <w:r w:rsidR="00174A0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072D3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 </w:t>
            </w:r>
            <w:r w:rsidR="0062044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CDP’s balance holdings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from Tricor, to proceed to safekeep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BA94D95" w14:textId="73D3BD7E" w:rsidR="00A52EEF" w:rsidRDefault="00F25A82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Lodge with Tricor within 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business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days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from date of receipt, assuming all documents </w:t>
            </w:r>
            <w:r w:rsidR="00E47DE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received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are in order </w:t>
            </w:r>
          </w:p>
        </w:tc>
      </w:tr>
      <w:tr w:rsidR="00A52EEF" w:rsidRPr="00345A31" w14:paraId="646C3E46" w14:textId="77777777" w:rsidTr="005D719E">
        <w:tc>
          <w:tcPr>
            <w:tcW w:w="3966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2A09BFC" w14:textId="655E5BA7" w:rsidR="002B6FFF" w:rsidRPr="00A52EEF" w:rsidRDefault="002B6FFF" w:rsidP="002B6FFF">
            <w:pPr>
              <w:pStyle w:val="NormalDeed"/>
              <w:spacing w:before="120" w:after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CDP </w:t>
            </w:r>
            <w:r w:rsidR="00E0233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direct account</w:t>
            </w: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holder</w:t>
            </w:r>
            <w:r w:rsidR="00E0233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or DA</w:t>
            </w:r>
            <w:r w:rsidR="008E0F4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also</w:t>
            </w: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complete</w:t>
            </w:r>
            <w:r w:rsidR="0015099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F5229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submits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to T</w:t>
            </w:r>
            <w:r w:rsidR="00400D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ricor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:</w:t>
            </w:r>
          </w:p>
          <w:p w14:paraId="5CC5A75D" w14:textId="059293AE" w:rsidR="002D2D12" w:rsidRDefault="00966622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Register Removal Request </w:t>
            </w:r>
            <w:r w:rsidR="006764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(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SGD to AU</w:t>
            </w:r>
            <w:r w:rsidR="004B5B3B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6764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  <w:r w:rsidR="004B5B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form</w:t>
            </w:r>
            <w:r w:rsidR="005B709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(“Removal Form A”)</w:t>
            </w:r>
          </w:p>
          <w:p w14:paraId="3D20700E" w14:textId="77777777" w:rsidR="00A52EEF" w:rsidRDefault="00A52EEF" w:rsidP="002D2D12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8129EC3" w14:textId="228D7BCB" w:rsidR="00A52EEF" w:rsidRDefault="00A52EEF" w:rsidP="00A52EEF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Original </w:t>
            </w:r>
            <w:r w:rsidR="0025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wet ink signed </w:t>
            </w:r>
            <w:r w:rsidR="001779E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Removal </w:t>
            </w:r>
            <w:proofErr w:type="spellStart"/>
            <w:r w:rsidR="001779E6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Form</w:t>
            </w:r>
            <w:proofErr w:type="spellEnd"/>
            <w:r w:rsidR="001779E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to be</w:t>
            </w:r>
            <w:r w:rsidR="0025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25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submitted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by</w:t>
            </w:r>
            <w:proofErr w:type="gram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CDP </w:t>
            </w:r>
            <w:r w:rsidR="001779E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direct account holder or DA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to Tricor</w:t>
            </w:r>
            <w:r w:rsidR="00401E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0C8A0D50" w14:textId="2F99D7A0" w:rsidR="00675FF0" w:rsidRDefault="00675FF0" w:rsidP="00675FF0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304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Fee: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payment instruction for Singapore </w:t>
            </w:r>
            <w:r w:rsidR="0025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$</w:t>
            </w:r>
            <w:r w:rsidR="00201E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34.88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made payable to Tricor Barbinder Share Registration Services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 The shareholder email</w:t>
            </w:r>
            <w:r w:rsidR="008E0F43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8E0F43" w:rsidRPr="00284B16">
                <w:rPr>
                  <w:rStyle w:val="Hyperlink"/>
                  <w:rFonts w:ascii="Tahoma" w:hAnsi="Tahoma" w:cs="Tahoma"/>
                  <w:sz w:val="18"/>
                  <w:szCs w:val="18"/>
                </w:rPr>
                <w:t>is.corporateactions@sg.tricorglobal.com</w:t>
              </w:r>
            </w:hyperlink>
            <w:r w:rsidR="008E0F4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bank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details</w:t>
            </w:r>
            <w:r w:rsidR="006454B7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20778C00" w14:textId="77777777" w:rsidR="00A52EEF" w:rsidRDefault="00A52EEF" w:rsidP="00675FF0">
            <w:pPr>
              <w:spacing w:before="120"/>
              <w:ind w:left="-675" w:firstLine="6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6DCE88" w14:textId="36C6639D" w:rsidR="00A52EEF" w:rsidRDefault="00A52EEF" w:rsidP="00A52EEF">
            <w:pPr>
              <w:spacing w:before="120" w:after="4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</w:t>
            </w:r>
          </w:p>
        </w:tc>
        <w:tc>
          <w:tcPr>
            <w:tcW w:w="411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4CA0D0E" w14:textId="26DE960B" w:rsidR="00CF69FB" w:rsidRPr="00965C5B" w:rsidRDefault="00A52EEF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Tricor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34D06A1F" w14:textId="3389B29B" w:rsidR="00A52EEF" w:rsidRPr="00747287" w:rsidRDefault="00C067F9" w:rsidP="00747287">
            <w:pPr>
              <w:pStyle w:val="ListParagraph"/>
              <w:numPr>
                <w:ilvl w:val="0"/>
                <w:numId w:val="19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Validate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process the </w:t>
            </w:r>
            <w:r w:rsidR="007D2C1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transfer and removal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upon receipt of (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 </w:t>
            </w:r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Removal Form A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and (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 </w:t>
            </w:r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 Transfer Deed</w:t>
            </w:r>
            <w:r w:rsidR="00201E2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="00C71D11">
              <w:rPr>
                <w:rFonts w:ascii="Tahoma" w:hAnsi="Tahoma" w:cs="Tahoma"/>
                <w:color w:val="000000" w:themeColor="text1"/>
                <w:sz w:val="18"/>
                <w:szCs w:val="18"/>
              </w:rPr>
              <w:t>(c)</w:t>
            </w:r>
            <w:r w:rsidR="00201E2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9693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CDP </w:t>
            </w:r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lodgement</w:t>
            </w:r>
            <w:r w:rsidR="00201E2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letter, whichever is applic</w:t>
            </w:r>
            <w:r w:rsidR="00D635D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r w:rsidR="00201E2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ble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7D2C1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97611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Match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Removal </w:t>
            </w:r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Form </w:t>
            </w:r>
            <w:proofErr w:type="spellStart"/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proofErr w:type="spellEnd"/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against the withdrawal records</w:t>
            </w:r>
            <w:r w:rsidR="007F726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/documents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submitted by CDP.</w:t>
            </w:r>
          </w:p>
          <w:p w14:paraId="5B94AC87" w14:textId="04943FF0" w:rsidR="00A52EEF" w:rsidRPr="00747287" w:rsidRDefault="00976114" w:rsidP="00747287">
            <w:pPr>
              <w:pStyle w:val="ListParagraph"/>
              <w:numPr>
                <w:ilvl w:val="0"/>
                <w:numId w:val="19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Remove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shares from the Singapore</w:t>
            </w:r>
            <w:r w:rsidR="004960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1341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4960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register, and advises 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Computershare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by email this has been complete</w:t>
            </w:r>
            <w:r w:rsidR="0074619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d, </w:t>
            </w:r>
            <w:r w:rsidR="00581FF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provid</w:t>
            </w:r>
            <w:r w:rsidR="0074619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</w:t>
            </w:r>
            <w:r w:rsidR="00581FF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 c</w:t>
            </w:r>
            <w:r w:rsidR="00581FF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</w:t>
            </w:r>
            <w:r w:rsidR="00581FF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</w:t>
            </w:r>
            <w:r w:rsidR="000C47D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Removal Form A</w:t>
            </w:r>
            <w:r w:rsidR="00581FF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="0074619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confirmation </w:t>
            </w:r>
            <w:r w:rsidR="0074619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of</w:t>
            </w:r>
            <w:r w:rsidR="00B63FB5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total number of shares now held on the 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Singapore </w:t>
            </w:r>
            <w:r w:rsidR="001341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0C47D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594E5C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register.</w:t>
            </w:r>
          </w:p>
          <w:p w14:paraId="25429758" w14:textId="0605C8BE" w:rsidR="000C67A7" w:rsidRPr="00747287" w:rsidRDefault="00C71D11" w:rsidP="00EF3AA7">
            <w:pPr>
              <w:pStyle w:val="ListParagraph"/>
              <w:numPr>
                <w:ilvl w:val="0"/>
                <w:numId w:val="19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Issue 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tatement of 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oldings to CDP on</w:t>
            </w:r>
            <w:r w:rsidR="00EF3AA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balance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number of shares</w:t>
            </w:r>
            <w:r w:rsidR="00EF3AA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held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6B4DF6B" w14:textId="6E85CA12" w:rsidR="00A52EEF" w:rsidRDefault="009D6AA5" w:rsidP="00977DB5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 xml:space="preserve">2 </w:t>
            </w:r>
            <w:r w:rsidR="009B58D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business </w:t>
            </w:r>
            <w:r w:rsidR="00A52E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days</w:t>
            </w:r>
          </w:p>
        </w:tc>
      </w:tr>
      <w:tr w:rsidR="00A52EEF" w:rsidRPr="00345A31" w14:paraId="52B879BF" w14:textId="77777777" w:rsidTr="005D719E">
        <w:tc>
          <w:tcPr>
            <w:tcW w:w="3966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259D429" w14:textId="77777777" w:rsidR="00A52EEF" w:rsidRDefault="00A52EEF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2D2294" w14:textId="77777777" w:rsidR="00A52EEF" w:rsidRDefault="00A52EEF" w:rsidP="00A52EEF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4A18831" w14:textId="23AF92F3" w:rsidR="00A52EEF" w:rsidRDefault="00A52EEF" w:rsidP="00A52EEF">
            <w:pPr>
              <w:spacing w:before="120" w:after="4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Australian</w:t>
            </w:r>
          </w:p>
        </w:tc>
        <w:tc>
          <w:tcPr>
            <w:tcW w:w="411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431436B" w14:textId="5864E372" w:rsidR="00CF69FB" w:rsidRPr="00965C5B" w:rsidRDefault="00A52EEF" w:rsidP="00A52EEF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Computershare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2E0EF3EB" w14:textId="2E43C095" w:rsidR="00A52EEF" w:rsidRPr="00747287" w:rsidRDefault="00306060" w:rsidP="00747287">
            <w:pPr>
              <w:pStyle w:val="ListParagraph"/>
              <w:numPr>
                <w:ilvl w:val="0"/>
                <w:numId w:val="20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Process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Removal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Form A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</w:p>
          <w:p w14:paraId="16CEF8D4" w14:textId="5F9DB854" w:rsidR="00306060" w:rsidRDefault="00306060" w:rsidP="00747287">
            <w:pPr>
              <w:pStyle w:val="ListParagraph"/>
              <w:numPr>
                <w:ilvl w:val="0"/>
                <w:numId w:val="20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Confirm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by email to Tricor </w:t>
            </w:r>
            <w:r w:rsidR="004B5B3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CF69F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removal</w:t>
            </w:r>
            <w:r w:rsidR="004B5B3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 the shares to 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Australian register</w:t>
            </w:r>
            <w:r w:rsidR="004B5B3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has been completed</w:t>
            </w:r>
            <w:r w:rsidR="00A52EEF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and the total number of shares now held on the Australian register</w:t>
            </w:r>
            <w:r w:rsidR="00594E5C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D946100" w14:textId="17D06177" w:rsidR="00E15D1F" w:rsidRPr="00747287" w:rsidRDefault="00747287" w:rsidP="00747287">
            <w:pPr>
              <w:pStyle w:val="ListParagraph"/>
              <w:numPr>
                <w:ilvl w:val="0"/>
                <w:numId w:val="20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Holding statement is despatched to the registered address</w:t>
            </w:r>
            <w:r w:rsidR="00E1127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 shareholder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05A4A04" w14:textId="7E5D7E2C" w:rsidR="00A52EEF" w:rsidRDefault="00A52EEF" w:rsidP="00977DB5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 </w:t>
            </w:r>
            <w:r w:rsidR="00055A9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business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</w:t>
            </w:r>
          </w:p>
        </w:tc>
      </w:tr>
      <w:tr w:rsidR="004B5B3B" w:rsidRPr="00345A31" w14:paraId="29B0D70A" w14:textId="77777777" w:rsidTr="00983BE8">
        <w:tc>
          <w:tcPr>
            <w:tcW w:w="15901" w:type="dxa"/>
            <w:gridSpan w:val="7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6FCC226" w14:textId="57421763" w:rsidR="004B5B3B" w:rsidRPr="00747287" w:rsidRDefault="00965C5B" w:rsidP="0074728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bCs/>
                <w:color w:val="000000" w:themeColor="text1"/>
              </w:rPr>
            </w:pPr>
            <w:r>
              <w:br w:type="page"/>
            </w:r>
            <w:r w:rsidR="004B5B3B" w:rsidRPr="00747287">
              <w:rPr>
                <w:rFonts w:ascii="Tahoma" w:hAnsi="Tahoma" w:cs="Tahoma"/>
                <w:b/>
                <w:color w:val="000000" w:themeColor="text1"/>
              </w:rPr>
              <w:t>Australia</w:t>
            </w:r>
            <w:r w:rsidR="00676427" w:rsidRPr="00747287">
              <w:rPr>
                <w:rFonts w:ascii="Tahoma" w:hAnsi="Tahoma" w:cs="Tahoma"/>
                <w:b/>
                <w:color w:val="000000" w:themeColor="text1"/>
              </w:rPr>
              <w:t xml:space="preserve"> to Singapore</w:t>
            </w:r>
            <w:r w:rsidR="004B5B3B" w:rsidRPr="00747287">
              <w:rPr>
                <w:rFonts w:ascii="Tahoma" w:hAnsi="Tahoma" w:cs="Tahoma"/>
                <w:b/>
                <w:color w:val="000000" w:themeColor="text1"/>
              </w:rPr>
              <w:t>: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Pr="00747287">
              <w:rPr>
                <w:rFonts w:ascii="Tahoma" w:hAnsi="Tahoma" w:cs="Tahoma"/>
                <w:bCs/>
                <w:color w:val="000000" w:themeColor="text1"/>
              </w:rPr>
              <w:t>Shares to be d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</w:rPr>
              <w:t xml:space="preserve">eposited into CDP </w:t>
            </w:r>
            <w:r w:rsidR="00EF1100">
              <w:rPr>
                <w:rFonts w:ascii="Tahoma" w:hAnsi="Tahoma" w:cs="Tahoma"/>
                <w:bCs/>
                <w:color w:val="000000" w:themeColor="text1"/>
              </w:rPr>
              <w:t xml:space="preserve">Direct 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</w:rPr>
              <w:t>Account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  <w:lang w:val="en-GB"/>
              </w:rPr>
              <w:t xml:space="preserve"> or Sub-account maintained with a </w:t>
            </w:r>
            <w:r w:rsidR="00EF1100">
              <w:rPr>
                <w:rFonts w:ascii="Tahoma" w:hAnsi="Tahoma" w:cs="Tahoma"/>
                <w:bCs/>
                <w:color w:val="000000" w:themeColor="text1"/>
                <w:lang w:val="en-GB"/>
              </w:rPr>
              <w:t>DA</w:t>
            </w:r>
            <w:r w:rsidR="004B5B3B" w:rsidRPr="00747287">
              <w:rPr>
                <w:rFonts w:ascii="Tahoma" w:hAnsi="Tahoma" w:cs="Tahoma"/>
                <w:bCs/>
                <w:color w:val="000000" w:themeColor="text1"/>
                <w:lang w:val="en-GB"/>
              </w:rPr>
              <w:t xml:space="preserve"> </w:t>
            </w:r>
          </w:p>
        </w:tc>
      </w:tr>
      <w:tr w:rsidR="007304D4" w:rsidRPr="00345A31" w14:paraId="2E577B1A" w14:textId="77777777" w:rsidTr="005D719E">
        <w:tc>
          <w:tcPr>
            <w:tcW w:w="39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CBB3D31" w14:textId="7D98A306" w:rsidR="007304D4" w:rsidRDefault="007304D4" w:rsidP="007304D4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Form</w:t>
            </w:r>
            <w:r w:rsidR="00B43EE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</w:t>
            </w: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  <w:r w:rsidR="00B43EE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7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62752FF" w14:textId="4CF52462" w:rsidR="007304D4" w:rsidRDefault="007304D4" w:rsidP="007304D4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Delivery instructions /Fees (including GST)</w:t>
            </w: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3DA7E471" w14:textId="7381A9F3" w:rsidR="007304D4" w:rsidRDefault="007304D4" w:rsidP="007304D4">
            <w:pPr>
              <w:spacing w:before="120" w:after="4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Register</w:t>
            </w:r>
          </w:p>
        </w:tc>
        <w:tc>
          <w:tcPr>
            <w:tcW w:w="39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CF39ACA" w14:textId="5061D420" w:rsidR="007304D4" w:rsidRDefault="007304D4" w:rsidP="00966622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8862C1F" w14:textId="5413AB69" w:rsidR="007304D4" w:rsidRDefault="007304D4" w:rsidP="008E0F43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B5B3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Process timing</w:t>
            </w:r>
          </w:p>
        </w:tc>
      </w:tr>
      <w:tr w:rsidR="007304D4" w:rsidRPr="00345A31" w14:paraId="58665B5F" w14:textId="77777777" w:rsidTr="005D719E">
        <w:tc>
          <w:tcPr>
            <w:tcW w:w="3966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B7A1C9C" w14:textId="2791838C" w:rsidR="00150999" w:rsidRPr="00A52EEF" w:rsidRDefault="00150999" w:rsidP="00150999">
            <w:pPr>
              <w:pStyle w:val="NormalDeed"/>
              <w:spacing w:before="120" w:after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Share</w:t>
            </w:r>
            <w:r w:rsidRPr="00A52E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holder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completes and provides to Computershare:</w:t>
            </w:r>
          </w:p>
          <w:p w14:paraId="298E65BD" w14:textId="0DDC08DA" w:rsidR="00965C5B" w:rsidRDefault="007304D4" w:rsidP="007304D4">
            <w:pPr>
              <w:spacing w:before="12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Register Removal Request </w:t>
            </w:r>
            <w:r w:rsidR="006764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AUS to SGD</w:t>
            </w:r>
            <w:r w:rsidR="006764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form</w:t>
            </w:r>
            <w:r w:rsidR="0084545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(“Removal Form B”)</w:t>
            </w:r>
          </w:p>
          <w:p w14:paraId="2A07D989" w14:textId="1D8825EE" w:rsidR="00965C5B" w:rsidRDefault="00F03E99" w:rsidP="007304D4">
            <w:pPr>
              <w:spacing w:before="12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Noting, i</w:t>
            </w:r>
            <w:r w:rsidR="00965C5B">
              <w:rPr>
                <w:rFonts w:ascii="Tahoma" w:hAnsi="Tahoma" w:cs="Tahoma"/>
                <w:sz w:val="18"/>
                <w:szCs w:val="18"/>
              </w:rPr>
              <w:t xml:space="preserve">ncorporated </w:t>
            </w:r>
            <w:r w:rsidR="00A55C8A">
              <w:rPr>
                <w:rFonts w:ascii="Tahoma" w:hAnsi="Tahoma" w:cs="Tahoma"/>
                <w:sz w:val="18"/>
                <w:szCs w:val="18"/>
              </w:rPr>
              <w:t>in</w:t>
            </w:r>
            <w:r w:rsidR="00965C5B">
              <w:rPr>
                <w:rFonts w:ascii="Tahoma" w:hAnsi="Tahoma" w:cs="Tahoma"/>
                <w:sz w:val="18"/>
                <w:szCs w:val="18"/>
              </w:rPr>
              <w:t xml:space="preserve"> the</w:t>
            </w:r>
            <w:r w:rsidR="00A55C8A">
              <w:rPr>
                <w:rFonts w:ascii="Tahoma" w:hAnsi="Tahoma" w:cs="Tahoma"/>
                <w:sz w:val="18"/>
                <w:szCs w:val="18"/>
              </w:rPr>
              <w:t xml:space="preserve"> Removal Form B</w:t>
            </w:r>
            <w:r w:rsidR="00965C5B">
              <w:rPr>
                <w:rFonts w:ascii="Tahoma" w:hAnsi="Tahoma" w:cs="Tahoma"/>
                <w:sz w:val="18"/>
                <w:szCs w:val="18"/>
              </w:rPr>
              <w:t xml:space="preserve"> is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4B3AFB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965C5B">
              <w:rPr>
                <w:rFonts w:ascii="Tahoma" w:hAnsi="Tahoma" w:cs="Tahoma"/>
                <w:sz w:val="18"/>
                <w:szCs w:val="18"/>
              </w:rPr>
              <w:t xml:space="preserve">a transfer from the </w:t>
            </w:r>
            <w:r>
              <w:rPr>
                <w:rFonts w:ascii="Tahoma" w:hAnsi="Tahoma" w:cs="Tahoma"/>
                <w:sz w:val="18"/>
                <w:szCs w:val="18"/>
              </w:rPr>
              <w:t>share</w:t>
            </w:r>
            <w:r w:rsidR="00965C5B">
              <w:rPr>
                <w:rFonts w:ascii="Tahoma" w:hAnsi="Tahoma" w:cs="Tahoma"/>
                <w:sz w:val="18"/>
                <w:szCs w:val="18"/>
              </w:rPr>
              <w:t>holder to CDP</w:t>
            </w:r>
            <w:r w:rsidR="00F23CB6">
              <w:rPr>
                <w:rFonts w:ascii="Tahoma" w:hAnsi="Tahoma" w:cs="Tahoma"/>
                <w:sz w:val="18"/>
                <w:szCs w:val="18"/>
              </w:rPr>
              <w:t xml:space="preserve"> (on a “no change in beneficial ownership basis”)</w:t>
            </w:r>
            <w:r w:rsidR="00965C5B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4B3AFB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965C5B">
              <w:rPr>
                <w:rFonts w:ascii="Tahoma" w:hAnsi="Tahoma" w:cs="Tahoma"/>
                <w:sz w:val="18"/>
                <w:szCs w:val="18"/>
              </w:rPr>
              <w:t>the CDP deposit instructions.</w:t>
            </w:r>
          </w:p>
          <w:p w14:paraId="141991E1" w14:textId="54C7CA72" w:rsidR="00C86D8E" w:rsidRDefault="00C86D8E" w:rsidP="007304D4">
            <w:pPr>
              <w:spacing w:before="120" w:after="40"/>
              <w:rPr>
                <w:rFonts w:ascii="Tahoma" w:hAnsi="Tahoma" w:cs="Tahoma"/>
                <w:sz w:val="18"/>
                <w:szCs w:val="18"/>
              </w:rPr>
            </w:pPr>
          </w:p>
          <w:p w14:paraId="13DC4BED" w14:textId="1294AED5" w:rsidR="007304D4" w:rsidRDefault="00C86D8E" w:rsidP="005D719E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(handled </w:t>
            </w:r>
            <w:r w:rsidR="00C60B60">
              <w:rPr>
                <w:rFonts w:ascii="Tahoma" w:hAnsi="Tahoma" w:cs="Tahoma"/>
                <w:sz w:val="18"/>
                <w:szCs w:val="18"/>
              </w:rPr>
              <w:t xml:space="preserve">by Tricor/CDP </w:t>
            </w:r>
            <w:r>
              <w:rPr>
                <w:rFonts w:ascii="Tahoma" w:hAnsi="Tahoma" w:cs="Tahoma"/>
                <w:sz w:val="18"/>
                <w:szCs w:val="18"/>
              </w:rPr>
              <w:t>as “Transfer between Register”)</w:t>
            </w:r>
          </w:p>
        </w:tc>
        <w:tc>
          <w:tcPr>
            <w:tcW w:w="5274" w:type="dxa"/>
            <w:gridSpan w:val="2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AEA4F0B" w14:textId="33B4AEFA" w:rsidR="007304D4" w:rsidRDefault="007304D4" w:rsidP="007304D4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Original </w:t>
            </w:r>
            <w:r w:rsidR="00C45B16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Removal Form B</w:t>
            </w:r>
            <w:r w:rsidR="00400DF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sent to Computershare</w:t>
            </w:r>
            <w:r w:rsidR="00455838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CF69F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2804E07E" w14:textId="567F5306" w:rsidR="007304D4" w:rsidRDefault="007304D4" w:rsidP="007304D4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If the shares are held on the CHESS sub-register the shareholder’s broker or custodian would convert them to the issuer sponsored sub-register.</w:t>
            </w:r>
          </w:p>
          <w:p w14:paraId="05598F14" w14:textId="1BDF8DD1" w:rsidR="000A2ED6" w:rsidRDefault="000A2ED6" w:rsidP="00201892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2EE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Fee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675FF0"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payment instruction </w:t>
            </w:r>
            <w:r w:rsidR="00675FF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S$</w:t>
            </w:r>
            <w:r w:rsidR="00201E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55.78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(inclusive of deposition fee payable to </w:t>
            </w:r>
            <w:r w:rsidR="0020189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Central Depository (Pte) Limited) made payable to Tricor Barbinder Share Registration Services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675FF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hareholder would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email</w:t>
            </w:r>
            <w:r w:rsidR="00F0136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hyperlink r:id="rId10" w:history="1">
              <w:r w:rsidR="006C7DE9" w:rsidRPr="003B1CE3">
                <w:rPr>
                  <w:rStyle w:val="Hyperlink"/>
                  <w:rFonts w:ascii="Tahoma" w:hAnsi="Tahoma" w:cs="Tahoma"/>
                  <w:sz w:val="18"/>
                  <w:szCs w:val="18"/>
                </w:rPr>
                <w:t>is.corporateactions@sg.tricorglobal.com</w:t>
              </w:r>
            </w:hyperlink>
            <w:r w:rsidRPr="00675FF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 </w:t>
            </w:r>
            <w:r w:rsidR="00675FF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bank</w:t>
            </w:r>
            <w:r w:rsidR="00675FF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</w:t>
            </w:r>
            <w:r w:rsidRPr="000A2E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details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7D2ACC9" w14:textId="34801BDA" w:rsidR="007304D4" w:rsidRPr="00965C5B" w:rsidRDefault="007304D4" w:rsidP="007304D4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Australian</w:t>
            </w:r>
          </w:p>
        </w:tc>
        <w:tc>
          <w:tcPr>
            <w:tcW w:w="39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1EA6C8C" w14:textId="77777777" w:rsidR="00965C5B" w:rsidRDefault="007304D4" w:rsidP="007304D4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Computershare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30A39D65" w14:textId="6EA5BA28" w:rsidR="007304D4" w:rsidRPr="00747287" w:rsidRDefault="003D3D47" w:rsidP="00747287">
            <w:pPr>
              <w:pStyle w:val="ListParagraph"/>
              <w:numPr>
                <w:ilvl w:val="0"/>
                <w:numId w:val="21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Validate</w:t>
            </w:r>
            <w:r w:rsidR="000C4C6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</w:t>
            </w:r>
            <w:r w:rsidR="00965C5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rocess the</w:t>
            </w:r>
            <w:r w:rsidR="00564E2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Removal Form B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same day the request is received and</w:t>
            </w:r>
            <w:r w:rsidR="001A33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is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matched to the </w:t>
            </w:r>
            <w:r w:rsidR="00965C5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hares</w:t>
            </w:r>
            <w:r w:rsidR="00564E2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on Australian Register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</w:p>
          <w:p w14:paraId="483B6F8A" w14:textId="7B8C2365" w:rsidR="007304D4" w:rsidRPr="00747287" w:rsidRDefault="00733BA3" w:rsidP="00747287">
            <w:pPr>
              <w:pStyle w:val="ListParagraph"/>
              <w:numPr>
                <w:ilvl w:val="0"/>
                <w:numId w:val="21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Remove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shares from the Australian register, and advises Tricor by email this has been completed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provid</w:t>
            </w:r>
            <w:r w:rsidR="008418A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copy of the </w:t>
            </w:r>
            <w:r w:rsidR="00564E2D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Removal Form B 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confirm</w:t>
            </w:r>
            <w:r w:rsidR="008418AE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ation of</w:t>
            </w:r>
            <w:r w:rsidR="00F01C12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total number of shares now held on the Australian register.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32D6C7" w14:textId="387DA561" w:rsidR="007304D4" w:rsidRDefault="007304D4" w:rsidP="00977DB5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 </w:t>
            </w:r>
            <w:r w:rsidR="00146F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business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</w:t>
            </w:r>
          </w:p>
        </w:tc>
      </w:tr>
      <w:tr w:rsidR="007304D4" w:rsidRPr="00345A31" w14:paraId="05102311" w14:textId="77777777" w:rsidTr="005D719E">
        <w:tc>
          <w:tcPr>
            <w:tcW w:w="396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nil"/>
            </w:tcBorders>
            <w:vAlign w:val="center"/>
          </w:tcPr>
          <w:p w14:paraId="70F4D5B8" w14:textId="77777777" w:rsidR="007304D4" w:rsidRDefault="007304D4" w:rsidP="00965C5B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single" w:sz="8" w:space="0" w:color="A6A6A6" w:themeColor="background1" w:themeShade="A6"/>
              <w:left w:val="nil"/>
              <w:bottom w:val="nil"/>
              <w:right w:val="single" w:sz="8" w:space="0" w:color="A6A6A6" w:themeColor="background1" w:themeShade="A6"/>
            </w:tcBorders>
          </w:tcPr>
          <w:p w14:paraId="7BB7FAA3" w14:textId="7E60AC44" w:rsidR="007304D4" w:rsidRDefault="007304D4" w:rsidP="007304D4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</w:tcPr>
          <w:p w14:paraId="5C1736B9" w14:textId="1B46D258" w:rsidR="007304D4" w:rsidRPr="00965C5B" w:rsidRDefault="007304D4" w:rsidP="007304D4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</w:t>
            </w:r>
          </w:p>
        </w:tc>
        <w:tc>
          <w:tcPr>
            <w:tcW w:w="39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</w:tcPr>
          <w:p w14:paraId="3652B626" w14:textId="77777777" w:rsidR="00965C5B" w:rsidRDefault="007304D4" w:rsidP="007304D4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Tricor</w:t>
            </w:r>
            <w:r w:rsidR="0096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6D658BCC" w14:textId="0B23E3B2" w:rsidR="007304D4" w:rsidRPr="00747287" w:rsidRDefault="00733BA3" w:rsidP="00747287">
            <w:pPr>
              <w:pStyle w:val="ListParagraph"/>
              <w:numPr>
                <w:ilvl w:val="0"/>
                <w:numId w:val="22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Process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</w:t>
            </w:r>
            <w:r w:rsidR="00033B2C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Removal Form B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</w:p>
          <w:p w14:paraId="019B4CA0" w14:textId="7C7CB5C7" w:rsidR="007304D4" w:rsidRPr="00747287" w:rsidRDefault="009C3A73" w:rsidP="00747287">
            <w:pPr>
              <w:pStyle w:val="ListParagraph"/>
              <w:numPr>
                <w:ilvl w:val="0"/>
                <w:numId w:val="22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Confirm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by email to Computershare the re</w:t>
            </w:r>
            <w:r w:rsidR="00F03E99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moval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 the shares</w:t>
            </w:r>
            <w:r w:rsidR="003B3A26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from the Australian Register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</w:t>
            </w:r>
            <w:r w:rsidR="00CF69F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Singapore </w:t>
            </w:r>
            <w:r w:rsidR="001341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3B3C6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A16CB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register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has been completed, and the total number of shares now held on the </w:t>
            </w:r>
            <w:r w:rsidR="00CF69FB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</w:t>
            </w:r>
            <w:r w:rsidR="00F14286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1341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3B3C6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7304D4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register</w:t>
            </w:r>
            <w:r w:rsidR="00F14286" w:rsidRPr="00747287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</w:tcPr>
          <w:p w14:paraId="3DD73B71" w14:textId="6E214B73" w:rsidR="007304D4" w:rsidRDefault="009D6AA5" w:rsidP="00201E2E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 </w:t>
            </w:r>
            <w:r w:rsidR="00146F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business </w:t>
            </w:r>
            <w:r w:rsidR="004572F4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days</w:t>
            </w:r>
          </w:p>
        </w:tc>
      </w:tr>
      <w:tr w:rsidR="004572F4" w:rsidRPr="00345A31" w14:paraId="3BCEBD53" w14:textId="77777777" w:rsidTr="005D719E">
        <w:tc>
          <w:tcPr>
            <w:tcW w:w="3966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14:paraId="50DE03AC" w14:textId="77777777" w:rsidR="004572F4" w:rsidRDefault="004572F4" w:rsidP="00965C5B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3FC901" w14:textId="77777777" w:rsidR="004572F4" w:rsidRDefault="004572F4" w:rsidP="007304D4">
            <w:pPr>
              <w:spacing w:before="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A0F1E4D" w14:textId="11512726" w:rsidR="004572F4" w:rsidRPr="00965C5B" w:rsidRDefault="004572F4" w:rsidP="00D635DF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62B92E2" w14:textId="13EA1378" w:rsidR="00155572" w:rsidRPr="00C60B60" w:rsidRDefault="007A44B3" w:rsidP="005D719E">
            <w:pPr>
              <w:pStyle w:val="ListParagraph"/>
              <w:numPr>
                <w:ilvl w:val="0"/>
                <w:numId w:val="22"/>
              </w:numPr>
              <w:spacing w:after="40"/>
              <w:ind w:left="357" w:hanging="357"/>
              <w:contextualSpacing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Key</w:t>
            </w:r>
            <w:r w:rsidR="00155572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in the securities accounts to be credited under a Batch, into CDP’s post trade system under Transaction Category of “Transfer between Registers”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2A4FE6E1" w14:textId="0E2B4BFC" w:rsidR="004572F4" w:rsidRDefault="007A44B3" w:rsidP="00C60B60">
            <w:pPr>
              <w:pStyle w:val="ListParagraph"/>
              <w:numPr>
                <w:ilvl w:val="0"/>
                <w:numId w:val="22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Issue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C71D1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tatement of 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</w:t>
            </w:r>
            <w:r w:rsidR="00C71D1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oldings on 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updated number of 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shares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deliver</w:t>
            </w:r>
            <w:r w:rsidR="00E72D43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it 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with</w:t>
            </w:r>
            <w:r w:rsidR="00E72D43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copy of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Removal Form B and cover letter</w:t>
            </w:r>
            <w:r w:rsidR="00155572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(stating the Batch ID)</w:t>
            </w:r>
            <w:r w:rsidR="00CB4D5B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</w:t>
            </w:r>
            <w:r w:rsidR="004572F4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4572F4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46E64392" w14:textId="48838226" w:rsidR="00B42939" w:rsidRPr="00C60B60" w:rsidRDefault="00B42939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CDP:</w:t>
            </w:r>
          </w:p>
          <w:p w14:paraId="5A9F5048" w14:textId="2345860C" w:rsidR="00B56F17" w:rsidRPr="00C60B60" w:rsidRDefault="00B42939" w:rsidP="00C60B60">
            <w:pPr>
              <w:pStyle w:val="ListParagraph"/>
              <w:numPr>
                <w:ilvl w:val="0"/>
                <w:numId w:val="2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U</w:t>
            </w:r>
            <w:r w:rsidR="00B56F1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pon receipt will validate the documents</w:t>
            </w:r>
            <w:r w:rsidR="00155572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and data entry</w:t>
            </w:r>
            <w:r w:rsidR="00B56F1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assuming all is in order, will process the credit of shares</w:t>
            </w:r>
            <w:r w:rsidR="00155572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via the Batch ID</w:t>
            </w:r>
            <w:r w:rsidR="00B56F1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the shareholder’s account within 2 business days from date of receipt</w:t>
            </w:r>
            <w:r w:rsidR="005D719E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110A6264" w14:textId="0A727B46" w:rsidR="00B56F17" w:rsidRPr="00C60B60" w:rsidRDefault="00B42939" w:rsidP="00C60B60">
            <w:pPr>
              <w:pStyle w:val="ListParagraph"/>
              <w:numPr>
                <w:ilvl w:val="0"/>
                <w:numId w:val="24"/>
              </w:num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r w:rsidR="00B56F1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uto-bill Tricor for the deposits done </w:t>
            </w:r>
            <w:r w:rsidR="00E316D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on a </w:t>
            </w:r>
            <w:r w:rsidR="00155572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monthly</w:t>
            </w:r>
            <w:r w:rsidR="00E316D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basis</w:t>
            </w:r>
            <w:r w:rsidR="00B43E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B56F17" w:rsidRPr="00C60B6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0FEF44" w14:textId="77777777" w:rsidR="00CB4D5B" w:rsidRDefault="00CB4D5B" w:rsidP="00977DB5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8E56BCD" w14:textId="77777777" w:rsidR="00CB4D5B" w:rsidRDefault="00CB4D5B" w:rsidP="00977DB5">
            <w:pPr>
              <w:spacing w:before="120" w:after="4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66D57D0" w14:textId="79902EF1" w:rsidR="004572F4" w:rsidRPr="00F84D8A" w:rsidDel="00201E2E" w:rsidRDefault="00CB4D5B" w:rsidP="00C60B60">
            <w:pPr>
              <w:spacing w:before="120" w:after="4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4BA94DD1" w14:textId="343540D4" w:rsidR="00AB5D8F" w:rsidRDefault="00AB5D8F" w:rsidP="00CF69FB"/>
    <w:sectPr w:rsidR="00AB5D8F" w:rsidSect="00304A2C">
      <w:footerReference w:type="default" r:id="rId11"/>
      <w:pgSz w:w="16838" w:h="11906" w:orient="landscape" w:code="9"/>
      <w:pgMar w:top="567" w:right="709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AAA5" w14:textId="77777777" w:rsidR="005A7328" w:rsidRDefault="005A7328" w:rsidP="00ED4BE1">
      <w:pPr>
        <w:spacing w:after="0" w:line="240" w:lineRule="auto"/>
      </w:pPr>
      <w:r>
        <w:separator/>
      </w:r>
    </w:p>
  </w:endnote>
  <w:endnote w:type="continuationSeparator" w:id="0">
    <w:p w14:paraId="05556C1C" w14:textId="77777777" w:rsidR="005A7328" w:rsidRDefault="005A7328" w:rsidP="00ED4BE1">
      <w:pPr>
        <w:spacing w:after="0" w:line="240" w:lineRule="auto"/>
      </w:pPr>
      <w:r>
        <w:continuationSeparator/>
      </w:r>
    </w:p>
  </w:endnote>
  <w:endnote w:type="continuationNotice" w:id="1">
    <w:p w14:paraId="44F8474A" w14:textId="77777777" w:rsidR="005A7328" w:rsidRDefault="005A7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514605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16"/>
      </w:rPr>
    </w:sdtEndPr>
    <w:sdtContent>
      <w:p w14:paraId="4BA94E15" w14:textId="60633280" w:rsidR="00DF2B56" w:rsidRPr="00DF2B56" w:rsidRDefault="00DF2B56">
        <w:pPr>
          <w:pStyle w:val="Footer"/>
          <w:jc w:val="right"/>
          <w:rPr>
            <w:rFonts w:ascii="Tahoma" w:hAnsi="Tahoma" w:cs="Tahoma"/>
            <w:sz w:val="16"/>
            <w:szCs w:val="16"/>
          </w:rPr>
        </w:pPr>
        <w:r w:rsidRPr="00DF2B56">
          <w:rPr>
            <w:rFonts w:ascii="Tahoma" w:hAnsi="Tahoma" w:cs="Tahoma"/>
            <w:sz w:val="16"/>
            <w:szCs w:val="16"/>
          </w:rPr>
          <w:fldChar w:fldCharType="begin"/>
        </w:r>
        <w:r w:rsidRPr="00DF2B56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DF2B56">
          <w:rPr>
            <w:rFonts w:ascii="Tahoma" w:hAnsi="Tahoma" w:cs="Tahoma"/>
            <w:sz w:val="16"/>
            <w:szCs w:val="16"/>
          </w:rPr>
          <w:fldChar w:fldCharType="separate"/>
        </w:r>
        <w:r w:rsidR="00292F80">
          <w:rPr>
            <w:rFonts w:ascii="Tahoma" w:hAnsi="Tahoma" w:cs="Tahoma"/>
            <w:noProof/>
            <w:sz w:val="16"/>
            <w:szCs w:val="16"/>
          </w:rPr>
          <w:t>3</w:t>
        </w:r>
        <w:r w:rsidRPr="00DF2B56">
          <w:rPr>
            <w:rFonts w:ascii="Tahoma" w:hAnsi="Tahoma" w:cs="Tahoma"/>
            <w:noProof/>
            <w:sz w:val="16"/>
            <w:szCs w:val="16"/>
          </w:rPr>
          <w:fldChar w:fldCharType="end"/>
        </w:r>
      </w:p>
    </w:sdtContent>
  </w:sdt>
  <w:p w14:paraId="4BA94E16" w14:textId="77777777" w:rsidR="00DF2B56" w:rsidRDefault="00DF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0E21" w14:textId="77777777" w:rsidR="005A7328" w:rsidRDefault="005A7328" w:rsidP="00ED4BE1">
      <w:pPr>
        <w:spacing w:after="0" w:line="240" w:lineRule="auto"/>
      </w:pPr>
      <w:r>
        <w:separator/>
      </w:r>
    </w:p>
  </w:footnote>
  <w:footnote w:type="continuationSeparator" w:id="0">
    <w:p w14:paraId="17E1D435" w14:textId="77777777" w:rsidR="005A7328" w:rsidRDefault="005A7328" w:rsidP="00ED4BE1">
      <w:pPr>
        <w:spacing w:after="0" w:line="240" w:lineRule="auto"/>
      </w:pPr>
      <w:r>
        <w:continuationSeparator/>
      </w:r>
    </w:p>
  </w:footnote>
  <w:footnote w:type="continuationNotice" w:id="1">
    <w:p w14:paraId="2A3B03EE" w14:textId="77777777" w:rsidR="005A7328" w:rsidRDefault="005A73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DC0"/>
    <w:multiLevelType w:val="hybridMultilevel"/>
    <w:tmpl w:val="018C9016"/>
    <w:lvl w:ilvl="0" w:tplc="8452D5A8">
      <w:numFmt w:val="bullet"/>
      <w:lvlText w:val="›"/>
      <w:lvlJc w:val="left"/>
      <w:pPr>
        <w:ind w:left="720" w:hanging="360"/>
      </w:pPr>
      <w:rPr>
        <w:rFonts w:ascii="Tahoma" w:hAnsi="Tahoma" w:hint="default"/>
        <w:color w:val="40404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3B2"/>
    <w:multiLevelType w:val="hybridMultilevel"/>
    <w:tmpl w:val="B44EC6A8"/>
    <w:lvl w:ilvl="0" w:tplc="86E8DCE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578"/>
    <w:multiLevelType w:val="hybridMultilevel"/>
    <w:tmpl w:val="483C9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1EB"/>
    <w:multiLevelType w:val="hybridMultilevel"/>
    <w:tmpl w:val="7F9AC6E6"/>
    <w:lvl w:ilvl="0" w:tplc="55E6F128">
      <w:start w:val="1"/>
      <w:numFmt w:val="bullet"/>
      <w:lvlText w:val="›"/>
      <w:lvlJc w:val="left"/>
      <w:pPr>
        <w:ind w:left="720" w:hanging="360"/>
      </w:pPr>
      <w:rPr>
        <w:rFonts w:ascii="Tahoma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63E"/>
    <w:multiLevelType w:val="hybridMultilevel"/>
    <w:tmpl w:val="43240CDE"/>
    <w:lvl w:ilvl="0" w:tplc="86E8DCE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3A02"/>
    <w:multiLevelType w:val="hybridMultilevel"/>
    <w:tmpl w:val="03A8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76C3F"/>
    <w:multiLevelType w:val="hybridMultilevel"/>
    <w:tmpl w:val="ECD09042"/>
    <w:lvl w:ilvl="0" w:tplc="BE926EB2">
      <w:start w:val="1"/>
      <w:numFmt w:val="decimal"/>
      <w:lvlText w:val="%1."/>
      <w:lvlJc w:val="left"/>
      <w:pPr>
        <w:ind w:left="295" w:hanging="360"/>
      </w:pPr>
      <w:rPr>
        <w:rFonts w:ascii="Tahoma" w:hAnsi="Tahoma" w:cs="Tahoma" w:hint="default"/>
        <w:color w:val="0070C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53B0396"/>
    <w:multiLevelType w:val="hybridMultilevel"/>
    <w:tmpl w:val="8EF4D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05969"/>
    <w:multiLevelType w:val="hybridMultilevel"/>
    <w:tmpl w:val="EB7A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AEC"/>
    <w:multiLevelType w:val="hybridMultilevel"/>
    <w:tmpl w:val="25B01C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0715"/>
    <w:multiLevelType w:val="hybridMultilevel"/>
    <w:tmpl w:val="A3986CA0"/>
    <w:lvl w:ilvl="0" w:tplc="AA8EAFE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54148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A881E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3E068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674046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7611E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E2584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40AC39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8EEB6F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3FDD48E6"/>
    <w:multiLevelType w:val="hybridMultilevel"/>
    <w:tmpl w:val="F164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D4DDF"/>
    <w:multiLevelType w:val="hybridMultilevel"/>
    <w:tmpl w:val="E0DCD85C"/>
    <w:lvl w:ilvl="0" w:tplc="D708E378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459A"/>
    <w:multiLevelType w:val="hybridMultilevel"/>
    <w:tmpl w:val="F8B85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A41A7"/>
    <w:multiLevelType w:val="hybridMultilevel"/>
    <w:tmpl w:val="CB646BE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D0FB4"/>
    <w:multiLevelType w:val="hybridMultilevel"/>
    <w:tmpl w:val="35DA47A4"/>
    <w:lvl w:ilvl="0" w:tplc="8452D5A8">
      <w:numFmt w:val="bullet"/>
      <w:lvlText w:val="›"/>
      <w:lvlJc w:val="left"/>
      <w:pPr>
        <w:ind w:left="720" w:hanging="360"/>
      </w:pPr>
      <w:rPr>
        <w:rFonts w:ascii="Tahoma" w:hAnsi="Tahoma" w:hint="default"/>
        <w:color w:val="40404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657B2"/>
    <w:multiLevelType w:val="hybridMultilevel"/>
    <w:tmpl w:val="E0DCD85C"/>
    <w:lvl w:ilvl="0" w:tplc="D708E378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4A0"/>
    <w:multiLevelType w:val="hybridMultilevel"/>
    <w:tmpl w:val="50EA7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94D38"/>
    <w:multiLevelType w:val="hybridMultilevel"/>
    <w:tmpl w:val="31920638"/>
    <w:lvl w:ilvl="0" w:tplc="8452D5A8">
      <w:numFmt w:val="bullet"/>
      <w:lvlText w:val="›"/>
      <w:lvlJc w:val="left"/>
      <w:pPr>
        <w:ind w:left="720" w:hanging="360"/>
      </w:pPr>
      <w:rPr>
        <w:rFonts w:ascii="Tahoma" w:hAnsi="Tahoma" w:hint="default"/>
        <w:color w:val="40404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215D"/>
    <w:multiLevelType w:val="hybridMultilevel"/>
    <w:tmpl w:val="D4569200"/>
    <w:lvl w:ilvl="0" w:tplc="EA520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663F5"/>
    <w:multiLevelType w:val="hybridMultilevel"/>
    <w:tmpl w:val="EA709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62D21"/>
    <w:multiLevelType w:val="hybridMultilevel"/>
    <w:tmpl w:val="30AA6FF6"/>
    <w:lvl w:ilvl="0" w:tplc="86E8DCE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A1AA1"/>
    <w:multiLevelType w:val="hybridMultilevel"/>
    <w:tmpl w:val="483C9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751371">
    <w:abstractNumId w:val="4"/>
  </w:num>
  <w:num w:numId="2" w16cid:durableId="885945387">
    <w:abstractNumId w:val="1"/>
  </w:num>
  <w:num w:numId="3" w16cid:durableId="2028603091">
    <w:abstractNumId w:val="21"/>
  </w:num>
  <w:num w:numId="4" w16cid:durableId="1616714117">
    <w:abstractNumId w:val="9"/>
  </w:num>
  <w:num w:numId="5" w16cid:durableId="1789160238">
    <w:abstractNumId w:val="14"/>
  </w:num>
  <w:num w:numId="6" w16cid:durableId="1463838689">
    <w:abstractNumId w:val="9"/>
  </w:num>
  <w:num w:numId="7" w16cid:durableId="491525822">
    <w:abstractNumId w:val="3"/>
  </w:num>
  <w:num w:numId="8" w16cid:durableId="1664356879">
    <w:abstractNumId w:val="10"/>
  </w:num>
  <w:num w:numId="9" w16cid:durableId="1933737334">
    <w:abstractNumId w:val="0"/>
  </w:num>
  <w:num w:numId="10" w16cid:durableId="1714964015">
    <w:abstractNumId w:val="15"/>
  </w:num>
  <w:num w:numId="11" w16cid:durableId="2049408207">
    <w:abstractNumId w:val="18"/>
  </w:num>
  <w:num w:numId="12" w16cid:durableId="292712639">
    <w:abstractNumId w:val="6"/>
  </w:num>
  <w:num w:numId="13" w16cid:durableId="2013869910">
    <w:abstractNumId w:val="8"/>
  </w:num>
  <w:num w:numId="14" w16cid:durableId="1999576005">
    <w:abstractNumId w:val="11"/>
  </w:num>
  <w:num w:numId="15" w16cid:durableId="646788254">
    <w:abstractNumId w:val="5"/>
  </w:num>
  <w:num w:numId="16" w16cid:durableId="964577613">
    <w:abstractNumId w:val="16"/>
  </w:num>
  <w:num w:numId="17" w16cid:durableId="1087459020">
    <w:abstractNumId w:val="12"/>
  </w:num>
  <w:num w:numId="18" w16cid:durableId="404111252">
    <w:abstractNumId w:val="19"/>
  </w:num>
  <w:num w:numId="19" w16cid:durableId="1361786407">
    <w:abstractNumId w:val="13"/>
  </w:num>
  <w:num w:numId="20" w16cid:durableId="185561456">
    <w:abstractNumId w:val="20"/>
  </w:num>
  <w:num w:numId="21" w16cid:durableId="76754459">
    <w:abstractNumId w:val="7"/>
  </w:num>
  <w:num w:numId="22" w16cid:durableId="121122463">
    <w:abstractNumId w:val="2"/>
  </w:num>
  <w:num w:numId="23" w16cid:durableId="1390150641">
    <w:abstractNumId w:val="17"/>
  </w:num>
  <w:num w:numId="24" w16cid:durableId="21411922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69"/>
    <w:rsid w:val="00000CC7"/>
    <w:rsid w:val="00005448"/>
    <w:rsid w:val="00015290"/>
    <w:rsid w:val="000162D7"/>
    <w:rsid w:val="00033B2C"/>
    <w:rsid w:val="000377D2"/>
    <w:rsid w:val="00037AFF"/>
    <w:rsid w:val="000401F5"/>
    <w:rsid w:val="00040B37"/>
    <w:rsid w:val="00042459"/>
    <w:rsid w:val="00047648"/>
    <w:rsid w:val="00055189"/>
    <w:rsid w:val="00055A99"/>
    <w:rsid w:val="000570FE"/>
    <w:rsid w:val="00060EFE"/>
    <w:rsid w:val="00063899"/>
    <w:rsid w:val="00072D33"/>
    <w:rsid w:val="00074CB6"/>
    <w:rsid w:val="00077407"/>
    <w:rsid w:val="0007748D"/>
    <w:rsid w:val="000803CE"/>
    <w:rsid w:val="00090696"/>
    <w:rsid w:val="00093300"/>
    <w:rsid w:val="000A2ED6"/>
    <w:rsid w:val="000A35D7"/>
    <w:rsid w:val="000A6DA6"/>
    <w:rsid w:val="000B0136"/>
    <w:rsid w:val="000B3E77"/>
    <w:rsid w:val="000C47DF"/>
    <w:rsid w:val="000C4C62"/>
    <w:rsid w:val="000C4D91"/>
    <w:rsid w:val="000C67A7"/>
    <w:rsid w:val="000D5B52"/>
    <w:rsid w:val="000E391B"/>
    <w:rsid w:val="000E5EDE"/>
    <w:rsid w:val="000F0C8A"/>
    <w:rsid w:val="00105C43"/>
    <w:rsid w:val="0012355B"/>
    <w:rsid w:val="001327B2"/>
    <w:rsid w:val="00133952"/>
    <w:rsid w:val="0013419C"/>
    <w:rsid w:val="00135E73"/>
    <w:rsid w:val="001360E6"/>
    <w:rsid w:val="001423C4"/>
    <w:rsid w:val="00142F2B"/>
    <w:rsid w:val="00143D82"/>
    <w:rsid w:val="00146FA1"/>
    <w:rsid w:val="00147DD5"/>
    <w:rsid w:val="00150999"/>
    <w:rsid w:val="00152786"/>
    <w:rsid w:val="001541D9"/>
    <w:rsid w:val="00155572"/>
    <w:rsid w:val="001616AF"/>
    <w:rsid w:val="00161E3F"/>
    <w:rsid w:val="00162E9C"/>
    <w:rsid w:val="00164CA4"/>
    <w:rsid w:val="00165265"/>
    <w:rsid w:val="00170851"/>
    <w:rsid w:val="00170ED7"/>
    <w:rsid w:val="00174323"/>
    <w:rsid w:val="00174A03"/>
    <w:rsid w:val="001779E6"/>
    <w:rsid w:val="00182B65"/>
    <w:rsid w:val="00183ABC"/>
    <w:rsid w:val="0019399B"/>
    <w:rsid w:val="00197BD9"/>
    <w:rsid w:val="001A16B7"/>
    <w:rsid w:val="001A1FE7"/>
    <w:rsid w:val="001A3312"/>
    <w:rsid w:val="001A61D9"/>
    <w:rsid w:val="001C6EDE"/>
    <w:rsid w:val="001C7D3A"/>
    <w:rsid w:val="001D4408"/>
    <w:rsid w:val="001D6730"/>
    <w:rsid w:val="001D6B20"/>
    <w:rsid w:val="001E6583"/>
    <w:rsid w:val="001E7889"/>
    <w:rsid w:val="001F1720"/>
    <w:rsid w:val="00201892"/>
    <w:rsid w:val="00201E2E"/>
    <w:rsid w:val="002069A4"/>
    <w:rsid w:val="00210113"/>
    <w:rsid w:val="00210EC7"/>
    <w:rsid w:val="002133B4"/>
    <w:rsid w:val="0021688E"/>
    <w:rsid w:val="0022403F"/>
    <w:rsid w:val="00226030"/>
    <w:rsid w:val="00251FEC"/>
    <w:rsid w:val="0025472C"/>
    <w:rsid w:val="00256DF1"/>
    <w:rsid w:val="0026670B"/>
    <w:rsid w:val="00270642"/>
    <w:rsid w:val="00272D98"/>
    <w:rsid w:val="00274994"/>
    <w:rsid w:val="0028053F"/>
    <w:rsid w:val="00292F80"/>
    <w:rsid w:val="0029462A"/>
    <w:rsid w:val="002A6F1B"/>
    <w:rsid w:val="002B0715"/>
    <w:rsid w:val="002B3260"/>
    <w:rsid w:val="002B3B69"/>
    <w:rsid w:val="002B6FFF"/>
    <w:rsid w:val="002C1D85"/>
    <w:rsid w:val="002C2852"/>
    <w:rsid w:val="002D2D12"/>
    <w:rsid w:val="002D3B49"/>
    <w:rsid w:val="002E4834"/>
    <w:rsid w:val="00304A2C"/>
    <w:rsid w:val="00306060"/>
    <w:rsid w:val="00306C0C"/>
    <w:rsid w:val="003219DE"/>
    <w:rsid w:val="00322D3F"/>
    <w:rsid w:val="003277F2"/>
    <w:rsid w:val="00336C2C"/>
    <w:rsid w:val="0034024F"/>
    <w:rsid w:val="003435F3"/>
    <w:rsid w:val="00345A31"/>
    <w:rsid w:val="00353495"/>
    <w:rsid w:val="00356F2E"/>
    <w:rsid w:val="00360986"/>
    <w:rsid w:val="00367694"/>
    <w:rsid w:val="00372609"/>
    <w:rsid w:val="0038075C"/>
    <w:rsid w:val="00381532"/>
    <w:rsid w:val="00381621"/>
    <w:rsid w:val="00383774"/>
    <w:rsid w:val="00385B2D"/>
    <w:rsid w:val="003907D0"/>
    <w:rsid w:val="00395224"/>
    <w:rsid w:val="003A584B"/>
    <w:rsid w:val="003A792F"/>
    <w:rsid w:val="003B3A26"/>
    <w:rsid w:val="003B3C64"/>
    <w:rsid w:val="003D2B81"/>
    <w:rsid w:val="003D3D47"/>
    <w:rsid w:val="003F28C9"/>
    <w:rsid w:val="003F3020"/>
    <w:rsid w:val="003F3A4D"/>
    <w:rsid w:val="003F46D7"/>
    <w:rsid w:val="00400DF7"/>
    <w:rsid w:val="00401E90"/>
    <w:rsid w:val="0040775F"/>
    <w:rsid w:val="004100DD"/>
    <w:rsid w:val="00414071"/>
    <w:rsid w:val="00416F74"/>
    <w:rsid w:val="00420397"/>
    <w:rsid w:val="004208E6"/>
    <w:rsid w:val="00426B07"/>
    <w:rsid w:val="004278E0"/>
    <w:rsid w:val="00431B39"/>
    <w:rsid w:val="00446805"/>
    <w:rsid w:val="004515AF"/>
    <w:rsid w:val="00454353"/>
    <w:rsid w:val="00455838"/>
    <w:rsid w:val="004572F4"/>
    <w:rsid w:val="0046091F"/>
    <w:rsid w:val="004629FC"/>
    <w:rsid w:val="004711FC"/>
    <w:rsid w:val="00477307"/>
    <w:rsid w:val="0048214F"/>
    <w:rsid w:val="00483FF7"/>
    <w:rsid w:val="004850F8"/>
    <w:rsid w:val="00495BB0"/>
    <w:rsid w:val="00496059"/>
    <w:rsid w:val="004960BA"/>
    <w:rsid w:val="00496935"/>
    <w:rsid w:val="004B24BC"/>
    <w:rsid w:val="004B3AFB"/>
    <w:rsid w:val="004B5B3B"/>
    <w:rsid w:val="004C5DAF"/>
    <w:rsid w:val="004C77A4"/>
    <w:rsid w:val="004D3C28"/>
    <w:rsid w:val="004D59DA"/>
    <w:rsid w:val="004F16BE"/>
    <w:rsid w:val="004F7A64"/>
    <w:rsid w:val="00505AD7"/>
    <w:rsid w:val="00505E9E"/>
    <w:rsid w:val="00507B35"/>
    <w:rsid w:val="00522541"/>
    <w:rsid w:val="0053110E"/>
    <w:rsid w:val="005363D0"/>
    <w:rsid w:val="0053716E"/>
    <w:rsid w:val="00537B66"/>
    <w:rsid w:val="00541922"/>
    <w:rsid w:val="00546F41"/>
    <w:rsid w:val="00552DD9"/>
    <w:rsid w:val="00554686"/>
    <w:rsid w:val="00564E2D"/>
    <w:rsid w:val="00571C5F"/>
    <w:rsid w:val="005749CE"/>
    <w:rsid w:val="00580E85"/>
    <w:rsid w:val="00581FF5"/>
    <w:rsid w:val="00583634"/>
    <w:rsid w:val="005859FA"/>
    <w:rsid w:val="00594052"/>
    <w:rsid w:val="00594E5C"/>
    <w:rsid w:val="005A7328"/>
    <w:rsid w:val="005B226C"/>
    <w:rsid w:val="005B709E"/>
    <w:rsid w:val="005C0D06"/>
    <w:rsid w:val="005C2BE6"/>
    <w:rsid w:val="005D4432"/>
    <w:rsid w:val="005D719E"/>
    <w:rsid w:val="005E6154"/>
    <w:rsid w:val="005E6BB9"/>
    <w:rsid w:val="005F31C1"/>
    <w:rsid w:val="00603871"/>
    <w:rsid w:val="00606BED"/>
    <w:rsid w:val="00612BC8"/>
    <w:rsid w:val="00614277"/>
    <w:rsid w:val="00617CE6"/>
    <w:rsid w:val="00620440"/>
    <w:rsid w:val="00621007"/>
    <w:rsid w:val="00630862"/>
    <w:rsid w:val="0063237E"/>
    <w:rsid w:val="0064383F"/>
    <w:rsid w:val="006454B7"/>
    <w:rsid w:val="006462CE"/>
    <w:rsid w:val="0065442A"/>
    <w:rsid w:val="00657AB0"/>
    <w:rsid w:val="00660044"/>
    <w:rsid w:val="0066642E"/>
    <w:rsid w:val="006713BC"/>
    <w:rsid w:val="0067394E"/>
    <w:rsid w:val="00675FF0"/>
    <w:rsid w:val="00676427"/>
    <w:rsid w:val="00680AB7"/>
    <w:rsid w:val="00691877"/>
    <w:rsid w:val="00692621"/>
    <w:rsid w:val="006B1E14"/>
    <w:rsid w:val="006B447A"/>
    <w:rsid w:val="006B6E74"/>
    <w:rsid w:val="006C0758"/>
    <w:rsid w:val="006C2FFE"/>
    <w:rsid w:val="006C580E"/>
    <w:rsid w:val="006C6C00"/>
    <w:rsid w:val="006C7DE9"/>
    <w:rsid w:val="006D06CE"/>
    <w:rsid w:val="006D272E"/>
    <w:rsid w:val="006D3498"/>
    <w:rsid w:val="006D73B4"/>
    <w:rsid w:val="006D7FB6"/>
    <w:rsid w:val="006E090B"/>
    <w:rsid w:val="006E0F59"/>
    <w:rsid w:val="006E3C31"/>
    <w:rsid w:val="006F0B96"/>
    <w:rsid w:val="006F286F"/>
    <w:rsid w:val="006F6B1E"/>
    <w:rsid w:val="007000B9"/>
    <w:rsid w:val="00707A32"/>
    <w:rsid w:val="00711E4C"/>
    <w:rsid w:val="00717833"/>
    <w:rsid w:val="0072685D"/>
    <w:rsid w:val="007304D4"/>
    <w:rsid w:val="0073360D"/>
    <w:rsid w:val="00733BA3"/>
    <w:rsid w:val="00734D06"/>
    <w:rsid w:val="00740DD8"/>
    <w:rsid w:val="00745527"/>
    <w:rsid w:val="00746192"/>
    <w:rsid w:val="0074674F"/>
    <w:rsid w:val="00747167"/>
    <w:rsid w:val="00747287"/>
    <w:rsid w:val="00747D04"/>
    <w:rsid w:val="00752403"/>
    <w:rsid w:val="0075403E"/>
    <w:rsid w:val="00762FE3"/>
    <w:rsid w:val="007740F4"/>
    <w:rsid w:val="00776703"/>
    <w:rsid w:val="00780130"/>
    <w:rsid w:val="00786E1F"/>
    <w:rsid w:val="00791767"/>
    <w:rsid w:val="00792090"/>
    <w:rsid w:val="00792D80"/>
    <w:rsid w:val="00794BCA"/>
    <w:rsid w:val="00796B1A"/>
    <w:rsid w:val="007A1B1D"/>
    <w:rsid w:val="007A3FE8"/>
    <w:rsid w:val="007A44B3"/>
    <w:rsid w:val="007A4DCC"/>
    <w:rsid w:val="007A4FB9"/>
    <w:rsid w:val="007A595F"/>
    <w:rsid w:val="007B1BAE"/>
    <w:rsid w:val="007C2A8F"/>
    <w:rsid w:val="007C5209"/>
    <w:rsid w:val="007C79F7"/>
    <w:rsid w:val="007D279C"/>
    <w:rsid w:val="007D2C15"/>
    <w:rsid w:val="007E366E"/>
    <w:rsid w:val="007F726D"/>
    <w:rsid w:val="00800876"/>
    <w:rsid w:val="00800C9E"/>
    <w:rsid w:val="0080158B"/>
    <w:rsid w:val="00814984"/>
    <w:rsid w:val="00836AA5"/>
    <w:rsid w:val="008418AE"/>
    <w:rsid w:val="00844227"/>
    <w:rsid w:val="0084545E"/>
    <w:rsid w:val="00846A70"/>
    <w:rsid w:val="008522C7"/>
    <w:rsid w:val="008531E1"/>
    <w:rsid w:val="0086585E"/>
    <w:rsid w:val="008706DD"/>
    <w:rsid w:val="00877B85"/>
    <w:rsid w:val="00877E4B"/>
    <w:rsid w:val="0088416D"/>
    <w:rsid w:val="00884780"/>
    <w:rsid w:val="00886920"/>
    <w:rsid w:val="00894FC4"/>
    <w:rsid w:val="008A2003"/>
    <w:rsid w:val="008A5826"/>
    <w:rsid w:val="008C69E3"/>
    <w:rsid w:val="008E0F43"/>
    <w:rsid w:val="008E46CF"/>
    <w:rsid w:val="008F667F"/>
    <w:rsid w:val="00902E6E"/>
    <w:rsid w:val="0090320B"/>
    <w:rsid w:val="00903342"/>
    <w:rsid w:val="00905A7F"/>
    <w:rsid w:val="00905E8A"/>
    <w:rsid w:val="00912721"/>
    <w:rsid w:val="0091404E"/>
    <w:rsid w:val="00915CDA"/>
    <w:rsid w:val="00916AF4"/>
    <w:rsid w:val="00926D38"/>
    <w:rsid w:val="009304A0"/>
    <w:rsid w:val="00932099"/>
    <w:rsid w:val="009321F5"/>
    <w:rsid w:val="00952150"/>
    <w:rsid w:val="009550A7"/>
    <w:rsid w:val="00955534"/>
    <w:rsid w:val="00965C5B"/>
    <w:rsid w:val="00966622"/>
    <w:rsid w:val="00974920"/>
    <w:rsid w:val="00976114"/>
    <w:rsid w:val="00977AD7"/>
    <w:rsid w:val="00977DB5"/>
    <w:rsid w:val="00981E98"/>
    <w:rsid w:val="0098303E"/>
    <w:rsid w:val="00983BE8"/>
    <w:rsid w:val="0098485F"/>
    <w:rsid w:val="0098539B"/>
    <w:rsid w:val="00987255"/>
    <w:rsid w:val="00993439"/>
    <w:rsid w:val="009A0002"/>
    <w:rsid w:val="009A15F5"/>
    <w:rsid w:val="009A594B"/>
    <w:rsid w:val="009A6070"/>
    <w:rsid w:val="009B58DF"/>
    <w:rsid w:val="009C0CBA"/>
    <w:rsid w:val="009C3A73"/>
    <w:rsid w:val="009D0688"/>
    <w:rsid w:val="009D66A7"/>
    <w:rsid w:val="009D6AA5"/>
    <w:rsid w:val="009D6B11"/>
    <w:rsid w:val="009E2DD4"/>
    <w:rsid w:val="009E3DAC"/>
    <w:rsid w:val="009E7F57"/>
    <w:rsid w:val="009F17B3"/>
    <w:rsid w:val="009F1BAA"/>
    <w:rsid w:val="009F21BB"/>
    <w:rsid w:val="009F38B6"/>
    <w:rsid w:val="009F3A10"/>
    <w:rsid w:val="00A07E42"/>
    <w:rsid w:val="00A16CBB"/>
    <w:rsid w:val="00A23568"/>
    <w:rsid w:val="00A30993"/>
    <w:rsid w:val="00A32E72"/>
    <w:rsid w:val="00A3313F"/>
    <w:rsid w:val="00A444C2"/>
    <w:rsid w:val="00A52EEF"/>
    <w:rsid w:val="00A55C8A"/>
    <w:rsid w:val="00A57B62"/>
    <w:rsid w:val="00A6499F"/>
    <w:rsid w:val="00A92C28"/>
    <w:rsid w:val="00A96C7C"/>
    <w:rsid w:val="00AA21D2"/>
    <w:rsid w:val="00AA3246"/>
    <w:rsid w:val="00AA590A"/>
    <w:rsid w:val="00AB1735"/>
    <w:rsid w:val="00AB5D8F"/>
    <w:rsid w:val="00AC5405"/>
    <w:rsid w:val="00AC54EE"/>
    <w:rsid w:val="00AC6EBC"/>
    <w:rsid w:val="00AD7F42"/>
    <w:rsid w:val="00AE470A"/>
    <w:rsid w:val="00AF0D7D"/>
    <w:rsid w:val="00AF17C8"/>
    <w:rsid w:val="00AF53EE"/>
    <w:rsid w:val="00B00669"/>
    <w:rsid w:val="00B019F8"/>
    <w:rsid w:val="00B02183"/>
    <w:rsid w:val="00B13716"/>
    <w:rsid w:val="00B149FE"/>
    <w:rsid w:val="00B23982"/>
    <w:rsid w:val="00B24384"/>
    <w:rsid w:val="00B3484F"/>
    <w:rsid w:val="00B42939"/>
    <w:rsid w:val="00B43EE9"/>
    <w:rsid w:val="00B4679E"/>
    <w:rsid w:val="00B477C1"/>
    <w:rsid w:val="00B56F17"/>
    <w:rsid w:val="00B63FB5"/>
    <w:rsid w:val="00B7778A"/>
    <w:rsid w:val="00B81C49"/>
    <w:rsid w:val="00B829D1"/>
    <w:rsid w:val="00B83BD8"/>
    <w:rsid w:val="00B92A7B"/>
    <w:rsid w:val="00BA7F83"/>
    <w:rsid w:val="00BB0AC4"/>
    <w:rsid w:val="00BB21DB"/>
    <w:rsid w:val="00BB34CC"/>
    <w:rsid w:val="00BB3706"/>
    <w:rsid w:val="00BB4DB8"/>
    <w:rsid w:val="00BC162F"/>
    <w:rsid w:val="00BC217D"/>
    <w:rsid w:val="00BD494D"/>
    <w:rsid w:val="00BD7005"/>
    <w:rsid w:val="00BD7DC7"/>
    <w:rsid w:val="00BE14F4"/>
    <w:rsid w:val="00BE4892"/>
    <w:rsid w:val="00BF1924"/>
    <w:rsid w:val="00BF2316"/>
    <w:rsid w:val="00BF6E12"/>
    <w:rsid w:val="00C00390"/>
    <w:rsid w:val="00C007B1"/>
    <w:rsid w:val="00C067F9"/>
    <w:rsid w:val="00C1144B"/>
    <w:rsid w:val="00C141A0"/>
    <w:rsid w:val="00C145CD"/>
    <w:rsid w:val="00C1519B"/>
    <w:rsid w:val="00C27A18"/>
    <w:rsid w:val="00C3159C"/>
    <w:rsid w:val="00C41FAC"/>
    <w:rsid w:val="00C45B16"/>
    <w:rsid w:val="00C47745"/>
    <w:rsid w:val="00C50CF7"/>
    <w:rsid w:val="00C51537"/>
    <w:rsid w:val="00C54611"/>
    <w:rsid w:val="00C54757"/>
    <w:rsid w:val="00C60B60"/>
    <w:rsid w:val="00C6166A"/>
    <w:rsid w:val="00C652E1"/>
    <w:rsid w:val="00C672A6"/>
    <w:rsid w:val="00C71D11"/>
    <w:rsid w:val="00C747BA"/>
    <w:rsid w:val="00C802B6"/>
    <w:rsid w:val="00C815A5"/>
    <w:rsid w:val="00C835A2"/>
    <w:rsid w:val="00C86016"/>
    <w:rsid w:val="00C86367"/>
    <w:rsid w:val="00C86D8E"/>
    <w:rsid w:val="00C86E63"/>
    <w:rsid w:val="00C87106"/>
    <w:rsid w:val="00C96161"/>
    <w:rsid w:val="00CA1366"/>
    <w:rsid w:val="00CB0740"/>
    <w:rsid w:val="00CB3BF3"/>
    <w:rsid w:val="00CB4D5B"/>
    <w:rsid w:val="00CC5770"/>
    <w:rsid w:val="00CC6423"/>
    <w:rsid w:val="00CD2AA1"/>
    <w:rsid w:val="00CD3B26"/>
    <w:rsid w:val="00CD60DF"/>
    <w:rsid w:val="00CD6134"/>
    <w:rsid w:val="00CD72D8"/>
    <w:rsid w:val="00CE07A3"/>
    <w:rsid w:val="00CE7F62"/>
    <w:rsid w:val="00CF69FB"/>
    <w:rsid w:val="00CF7EF4"/>
    <w:rsid w:val="00D03BD0"/>
    <w:rsid w:val="00D07A6D"/>
    <w:rsid w:val="00D11699"/>
    <w:rsid w:val="00D2314A"/>
    <w:rsid w:val="00D2695A"/>
    <w:rsid w:val="00D3492D"/>
    <w:rsid w:val="00D44AB1"/>
    <w:rsid w:val="00D50D3E"/>
    <w:rsid w:val="00D5395E"/>
    <w:rsid w:val="00D635DF"/>
    <w:rsid w:val="00D70D77"/>
    <w:rsid w:val="00D715D7"/>
    <w:rsid w:val="00D72234"/>
    <w:rsid w:val="00D77DFD"/>
    <w:rsid w:val="00D91F6D"/>
    <w:rsid w:val="00D96790"/>
    <w:rsid w:val="00D96F8C"/>
    <w:rsid w:val="00DA57ED"/>
    <w:rsid w:val="00DC06B1"/>
    <w:rsid w:val="00DC2170"/>
    <w:rsid w:val="00DD079D"/>
    <w:rsid w:val="00DD2343"/>
    <w:rsid w:val="00DE4A4A"/>
    <w:rsid w:val="00DF2B56"/>
    <w:rsid w:val="00E0233A"/>
    <w:rsid w:val="00E0550F"/>
    <w:rsid w:val="00E10D51"/>
    <w:rsid w:val="00E11272"/>
    <w:rsid w:val="00E1367B"/>
    <w:rsid w:val="00E15253"/>
    <w:rsid w:val="00E15D1F"/>
    <w:rsid w:val="00E252A3"/>
    <w:rsid w:val="00E252F0"/>
    <w:rsid w:val="00E25375"/>
    <w:rsid w:val="00E2682F"/>
    <w:rsid w:val="00E316D7"/>
    <w:rsid w:val="00E34661"/>
    <w:rsid w:val="00E44E02"/>
    <w:rsid w:val="00E45C14"/>
    <w:rsid w:val="00E47DEF"/>
    <w:rsid w:val="00E617AD"/>
    <w:rsid w:val="00E63DEB"/>
    <w:rsid w:val="00E71488"/>
    <w:rsid w:val="00E72D43"/>
    <w:rsid w:val="00E75CD1"/>
    <w:rsid w:val="00E82207"/>
    <w:rsid w:val="00E82E5D"/>
    <w:rsid w:val="00E857D6"/>
    <w:rsid w:val="00E91AFC"/>
    <w:rsid w:val="00E97379"/>
    <w:rsid w:val="00EA5325"/>
    <w:rsid w:val="00EB1EA9"/>
    <w:rsid w:val="00EC1192"/>
    <w:rsid w:val="00EC4FA7"/>
    <w:rsid w:val="00ED4BE1"/>
    <w:rsid w:val="00EE47C5"/>
    <w:rsid w:val="00EE66D1"/>
    <w:rsid w:val="00EF1100"/>
    <w:rsid w:val="00EF28AB"/>
    <w:rsid w:val="00EF3115"/>
    <w:rsid w:val="00EF3AA7"/>
    <w:rsid w:val="00F0136B"/>
    <w:rsid w:val="00F01C12"/>
    <w:rsid w:val="00F0287C"/>
    <w:rsid w:val="00F03E99"/>
    <w:rsid w:val="00F14286"/>
    <w:rsid w:val="00F14388"/>
    <w:rsid w:val="00F168F0"/>
    <w:rsid w:val="00F23B53"/>
    <w:rsid w:val="00F23CB6"/>
    <w:rsid w:val="00F25A82"/>
    <w:rsid w:val="00F25E03"/>
    <w:rsid w:val="00F2785E"/>
    <w:rsid w:val="00F3466B"/>
    <w:rsid w:val="00F408EE"/>
    <w:rsid w:val="00F40ADA"/>
    <w:rsid w:val="00F42C65"/>
    <w:rsid w:val="00F44C67"/>
    <w:rsid w:val="00F51679"/>
    <w:rsid w:val="00F52298"/>
    <w:rsid w:val="00F52C94"/>
    <w:rsid w:val="00F564D7"/>
    <w:rsid w:val="00F56508"/>
    <w:rsid w:val="00F5722A"/>
    <w:rsid w:val="00F60E55"/>
    <w:rsid w:val="00F62681"/>
    <w:rsid w:val="00F632DF"/>
    <w:rsid w:val="00F67AB2"/>
    <w:rsid w:val="00F7509C"/>
    <w:rsid w:val="00F846E6"/>
    <w:rsid w:val="00F84D8A"/>
    <w:rsid w:val="00F90D83"/>
    <w:rsid w:val="00F933D6"/>
    <w:rsid w:val="00F949AD"/>
    <w:rsid w:val="00F96B0E"/>
    <w:rsid w:val="00FA65F1"/>
    <w:rsid w:val="00FB2BF1"/>
    <w:rsid w:val="00FB2C3B"/>
    <w:rsid w:val="00FC7CF8"/>
    <w:rsid w:val="00FD0049"/>
    <w:rsid w:val="00FD0225"/>
    <w:rsid w:val="00FE0FE4"/>
    <w:rsid w:val="00FE4EA9"/>
    <w:rsid w:val="00FE7095"/>
    <w:rsid w:val="00FF3242"/>
    <w:rsid w:val="00FF3989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94D82"/>
  <w15:docId w15:val="{7E21ED77-9D17-4354-B867-3B76C3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1F6D"/>
    <w:pPr>
      <w:keepNext/>
      <w:spacing w:before="360" w:after="480" w:line="288" w:lineRule="auto"/>
      <w:outlineLvl w:val="0"/>
    </w:pPr>
    <w:rPr>
      <w:rFonts w:ascii="Tahoma" w:eastAsia="Times New Roman" w:hAnsi="Tahoma" w:cs="Arial"/>
      <w:b/>
      <w:bCs/>
      <w:kern w:val="32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6D"/>
    <w:pPr>
      <w:keepNext/>
      <w:keepLines/>
      <w:spacing w:before="200" w:after="0" w:line="288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6D"/>
    <w:pPr>
      <w:keepNext/>
      <w:keepLines/>
      <w:spacing w:before="200" w:after="0" w:line="288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 Head"/>
    <w:basedOn w:val="Normal"/>
    <w:next w:val="Normal"/>
    <w:link w:val="SubHeadChar"/>
    <w:rsid w:val="00C802B6"/>
    <w:pPr>
      <w:keepNext/>
      <w:spacing w:before="120" w:after="0" w:line="260" w:lineRule="exact"/>
    </w:pPr>
    <w:rPr>
      <w:rFonts w:ascii="Tahoma" w:eastAsia="Times New Roman" w:hAnsi="Tahoma" w:cs="Times New Roman"/>
      <w:b/>
      <w:caps/>
      <w:color w:val="7A1F5E"/>
      <w:sz w:val="18"/>
      <w:szCs w:val="24"/>
      <w:lang w:val="en-US" w:eastAsia="en-AU"/>
    </w:rPr>
  </w:style>
  <w:style w:type="character" w:customStyle="1" w:styleId="SubHeadChar">
    <w:name w:val="Sub Head Char"/>
    <w:basedOn w:val="DefaultParagraphFont"/>
    <w:link w:val="SubHead"/>
    <w:rsid w:val="00C802B6"/>
    <w:rPr>
      <w:rFonts w:ascii="Tahoma" w:eastAsia="Times New Roman" w:hAnsi="Tahoma" w:cs="Times New Roman"/>
      <w:b/>
      <w:caps/>
      <w:color w:val="7A1F5E"/>
      <w:sz w:val="18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9D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90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E1"/>
  </w:style>
  <w:style w:type="paragraph" w:styleId="Footer">
    <w:name w:val="footer"/>
    <w:basedOn w:val="Normal"/>
    <w:link w:val="FooterChar"/>
    <w:uiPriority w:val="99"/>
    <w:unhideWhenUsed/>
    <w:rsid w:val="00ED4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E1"/>
  </w:style>
  <w:style w:type="paragraph" w:styleId="Caption">
    <w:name w:val="caption"/>
    <w:basedOn w:val="Normal"/>
    <w:next w:val="Normal"/>
    <w:unhideWhenUsed/>
    <w:qFormat/>
    <w:rsid w:val="00FD0049"/>
    <w:pPr>
      <w:spacing w:before="200" w:after="60" w:line="288" w:lineRule="auto"/>
      <w:outlineLvl w:val="4"/>
    </w:pPr>
    <w:rPr>
      <w:rFonts w:ascii="Tahoma" w:eastAsiaTheme="minorEastAsia" w:hAnsi="Tahoma" w:cs="Times New Roman"/>
      <w:b/>
      <w:bCs/>
      <w:i/>
      <w:iCs/>
      <w:color w:val="752864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D91F6D"/>
    <w:rPr>
      <w:rFonts w:ascii="Tahoma" w:eastAsia="Times New Roman" w:hAnsi="Tahoma" w:cs="Arial"/>
      <w:b/>
      <w:bCs/>
      <w:kern w:val="32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6D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1D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7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56F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6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92F"/>
    <w:rPr>
      <w:color w:val="800080" w:themeColor="followedHyperlink"/>
      <w:u w:val="single"/>
    </w:rPr>
  </w:style>
  <w:style w:type="paragraph" w:customStyle="1" w:styleId="NormalDeed">
    <w:name w:val="Normal Deed"/>
    <w:basedOn w:val="Normal"/>
    <w:rsid w:val="006E090B"/>
    <w:pPr>
      <w:spacing w:after="24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24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2.sgx.com/sites/default/files/2024-01/Transfer%20Deed%20for%20Scrip%20Withdrawal%2008012024.pdf?destination=/media/996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.corporateactions@sg.tricor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.corporateactions@sg.tricor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0912-DB6A-48A0-9303-49268CF783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1b6f0c-3a11-45de-a302-7fe97b0d9a64}" enabled="0" method="" siteId="{3f1b6f0c-3a11-45de-a302-7fe97b0d9a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Palmer</dc:creator>
  <cp:lastModifiedBy>Graham Palmer</cp:lastModifiedBy>
  <cp:revision>3</cp:revision>
  <cp:lastPrinted>2024-02-07T03:30:00Z</cp:lastPrinted>
  <dcterms:created xsi:type="dcterms:W3CDTF">2024-08-12T02:52:00Z</dcterms:created>
  <dcterms:modified xsi:type="dcterms:W3CDTF">2024-08-12T02:52:00Z</dcterms:modified>
</cp:coreProperties>
</file>